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062E" w14:textId="6437DB32" w:rsidR="0064767E" w:rsidRDefault="00660FBA" w:rsidP="0064767E">
      <w:pPr>
        <w:jc w:val="both"/>
      </w:pPr>
      <w:r>
        <w:t xml:space="preserve">Valutazione della Frammentazione del territorio </w:t>
      </w:r>
      <w:proofErr w:type="gramStart"/>
      <w:r>
        <w:t>attraverso  l</w:t>
      </w:r>
      <w:r w:rsidRPr="00660FBA">
        <w:t>’indice</w:t>
      </w:r>
      <w:proofErr w:type="gramEnd"/>
      <w:r w:rsidRPr="00660FBA">
        <w:t xml:space="preserve"> </w:t>
      </w:r>
      <w:r>
        <w:t>“</w:t>
      </w:r>
      <w:proofErr w:type="spellStart"/>
      <w:r w:rsidRPr="00660FBA">
        <w:rPr>
          <w:i/>
        </w:rPr>
        <w:t>effective</w:t>
      </w:r>
      <w:proofErr w:type="spellEnd"/>
      <w:r w:rsidRPr="00660FBA">
        <w:rPr>
          <w:i/>
        </w:rPr>
        <w:t xml:space="preserve"> </w:t>
      </w:r>
      <w:proofErr w:type="spellStart"/>
      <w:r w:rsidRPr="00660FBA">
        <w:rPr>
          <w:i/>
        </w:rPr>
        <w:t>mesh-density</w:t>
      </w:r>
      <w:proofErr w:type="spellEnd"/>
      <w:r w:rsidRPr="00660FBA">
        <w:rPr>
          <w:i/>
        </w:rPr>
        <w:t xml:space="preserve"> (</w:t>
      </w:r>
      <w:proofErr w:type="spellStart"/>
      <w:r w:rsidRPr="00660FBA">
        <w:rPr>
          <w:i/>
        </w:rPr>
        <w:t>Seff</w:t>
      </w:r>
      <w:proofErr w:type="spellEnd"/>
      <w:r w:rsidRPr="00660FBA">
        <w:rPr>
          <w:i/>
        </w:rPr>
        <w:t>)</w:t>
      </w:r>
      <w:r>
        <w:t>”.</w:t>
      </w:r>
    </w:p>
    <w:p w14:paraId="35941A8F" w14:textId="5D2E3F6B" w:rsidR="0064767E" w:rsidRPr="00CA3B2A" w:rsidRDefault="0064767E" w:rsidP="00CA3B2A">
      <w:pPr>
        <w:jc w:val="both"/>
      </w:pPr>
      <w:r>
        <w:t xml:space="preserve">L’indice </w:t>
      </w:r>
      <w:r w:rsidRPr="0064767E">
        <w:t>rappresenta la densità delle patch territoriali (</w:t>
      </w:r>
      <w:r w:rsidR="008B6393">
        <w:t>n°</w:t>
      </w:r>
      <w:r w:rsidRPr="0064767E">
        <w:t xml:space="preserve"> di mesh</w:t>
      </w:r>
      <w:r w:rsidR="008B6393">
        <w:t>es</w:t>
      </w:r>
      <w:r w:rsidRPr="0064767E">
        <w:t xml:space="preserve"> per 1.000 km</w:t>
      </w:r>
      <w:r w:rsidRPr="0064767E">
        <w:rPr>
          <w:vertAlign w:val="superscript"/>
        </w:rPr>
        <w:t>2</w:t>
      </w:r>
      <w:r w:rsidRPr="0064767E">
        <w:t>)</w:t>
      </w:r>
      <w:r>
        <w:t xml:space="preserve"> calcolate secondo la metodologia dell’</w:t>
      </w:r>
      <w:proofErr w:type="spellStart"/>
      <w:r w:rsidRPr="00DF1102">
        <w:rPr>
          <w:i/>
        </w:rPr>
        <w:t>effective</w:t>
      </w:r>
      <w:proofErr w:type="spellEnd"/>
      <w:r w:rsidRPr="00DF1102">
        <w:rPr>
          <w:i/>
        </w:rPr>
        <w:t xml:space="preserve"> </w:t>
      </w:r>
      <w:proofErr w:type="spellStart"/>
      <w:r w:rsidRPr="00DF1102">
        <w:rPr>
          <w:i/>
        </w:rPr>
        <w:t>mesh-size</w:t>
      </w:r>
      <w:proofErr w:type="spellEnd"/>
      <w:r w:rsidRPr="00DF1102">
        <w:rPr>
          <w:i/>
        </w:rPr>
        <w:t xml:space="preserve"> -</w:t>
      </w:r>
      <w:proofErr w:type="spellStart"/>
      <w:r w:rsidRPr="00DF1102">
        <w:rPr>
          <w:i/>
        </w:rPr>
        <w:t>m</w:t>
      </w:r>
      <w:r w:rsidRPr="00DF1102">
        <w:rPr>
          <w:i/>
          <w:vertAlign w:val="subscript"/>
        </w:rPr>
        <w:t>eff</w:t>
      </w:r>
      <w:proofErr w:type="spellEnd"/>
      <w:r>
        <w:t xml:space="preserve"> (</w:t>
      </w:r>
      <w:proofErr w:type="spellStart"/>
      <w:r>
        <w:t>Jaeger</w:t>
      </w:r>
      <w:proofErr w:type="spellEnd"/>
      <w:r>
        <w:t>, 20</w:t>
      </w:r>
      <w:r w:rsidR="00DF1102">
        <w:t>00) opportunamente modificata secondo la “</w:t>
      </w:r>
      <w:r w:rsidR="00DF1102" w:rsidRPr="0020388F">
        <w:rPr>
          <w:i/>
        </w:rPr>
        <w:t>cross-</w:t>
      </w:r>
      <w:proofErr w:type="spellStart"/>
      <w:r w:rsidR="00DF1102" w:rsidRPr="0020388F">
        <w:rPr>
          <w:i/>
        </w:rPr>
        <w:t>boundary</w:t>
      </w:r>
      <w:proofErr w:type="spellEnd"/>
      <w:r w:rsidR="00DF1102" w:rsidRPr="0020388F">
        <w:rPr>
          <w:i/>
        </w:rPr>
        <w:t xml:space="preserve"> </w:t>
      </w:r>
      <w:proofErr w:type="spellStart"/>
      <w:r w:rsidR="00DF1102" w:rsidRPr="0020388F">
        <w:rPr>
          <w:i/>
        </w:rPr>
        <w:t>connections</w:t>
      </w:r>
      <w:proofErr w:type="spellEnd"/>
      <w:r w:rsidR="00DF1102" w:rsidRPr="0020388F">
        <w:rPr>
          <w:i/>
        </w:rPr>
        <w:t xml:space="preserve"> (CBC) procedure</w:t>
      </w:r>
      <w:r w:rsidR="00DF1102">
        <w:t xml:space="preserve">” </w:t>
      </w:r>
      <w:r w:rsidR="0020388F" w:rsidRPr="0020388F">
        <w:t xml:space="preserve">(Moser, </w:t>
      </w:r>
      <w:r w:rsidR="0020388F" w:rsidRPr="0020388F">
        <w:rPr>
          <w:i/>
          <w:iCs/>
        </w:rPr>
        <w:t>et al.</w:t>
      </w:r>
      <w:r w:rsidR="0020388F" w:rsidRPr="0020388F">
        <w:t xml:space="preserve">, 2007) </w:t>
      </w:r>
      <w:r w:rsidR="00DF1102">
        <w:t xml:space="preserve">che garantisce la continuità di territorio oltre i limiti </w:t>
      </w:r>
      <w:proofErr w:type="gramStart"/>
      <w:r w:rsidR="00DF1102">
        <w:t xml:space="preserve">della </w:t>
      </w:r>
      <w:r w:rsidR="00DF1102" w:rsidRPr="00B87D9A">
        <w:rPr>
          <w:i/>
        </w:rPr>
        <w:t>reporting</w:t>
      </w:r>
      <w:proofErr w:type="gramEnd"/>
      <w:r w:rsidR="00DF1102" w:rsidRPr="00B87D9A">
        <w:rPr>
          <w:i/>
        </w:rPr>
        <w:t xml:space="preserve"> </w:t>
      </w:r>
      <w:proofErr w:type="spellStart"/>
      <w:r w:rsidR="00DF1102" w:rsidRPr="00B87D9A">
        <w:rPr>
          <w:i/>
        </w:rPr>
        <w:t>unit</w:t>
      </w:r>
      <w:proofErr w:type="spellEnd"/>
      <w:r w:rsidR="00DF1102">
        <w:t xml:space="preserve"> (cella di 1 km</w:t>
      </w:r>
      <w:r w:rsidR="00DF1102" w:rsidRPr="00660FBA">
        <w:rPr>
          <w:vertAlign w:val="superscript"/>
        </w:rPr>
        <w:t>2</w:t>
      </w:r>
      <w:r w:rsidR="00CA3B2A">
        <w:t xml:space="preserve">) e </w:t>
      </w:r>
      <w:r w:rsidR="00CA3B2A" w:rsidRPr="00CA3B2A">
        <w:t>misura l’ostacolo al movimento dovuto alla presenza sul territorio di barriere, definite come “elementi frammentanti”. Esso è calcolato su tutto il territorio nazionale rispetto ad una griglia regolare di 1 km2 (</w:t>
      </w:r>
      <w:r w:rsidR="00CA3B2A" w:rsidRPr="00CA3B2A">
        <w:rPr>
          <w:i/>
          <w:iCs/>
        </w:rPr>
        <w:t xml:space="preserve">reporting </w:t>
      </w:r>
      <w:proofErr w:type="spellStart"/>
      <w:r w:rsidR="00CA3B2A" w:rsidRPr="00CA3B2A">
        <w:rPr>
          <w:i/>
          <w:iCs/>
        </w:rPr>
        <w:t>unit</w:t>
      </w:r>
      <w:proofErr w:type="spellEnd"/>
      <w:r w:rsidR="00CA3B2A" w:rsidRPr="00CA3B2A">
        <w:t>) considerando come elementi frammentanti la copertura artificiale del suolo, valutata a partire da elaborazioni condotte sulla carta nazionale ISPRA-SNPA del con-sumo di suolo.</w:t>
      </w:r>
    </w:p>
    <w:p w14:paraId="11969428" w14:textId="191624ED" w:rsidR="00CA3B2A" w:rsidRPr="00CA3B2A" w:rsidRDefault="00CA3B2A" w:rsidP="00CA3B2A">
      <w:pPr>
        <w:jc w:val="both"/>
      </w:pPr>
      <w:r w:rsidRPr="00CA3B2A">
        <w:t>Per la valutazione del livello di frammentazione tramite l’</w:t>
      </w:r>
      <w:proofErr w:type="spellStart"/>
      <w:r w:rsidRPr="00CA3B2A">
        <w:rPr>
          <w:i/>
          <w:iCs/>
        </w:rPr>
        <w:t>effective</w:t>
      </w:r>
      <w:proofErr w:type="spellEnd"/>
      <w:r w:rsidRPr="00CA3B2A">
        <w:rPr>
          <w:i/>
          <w:iCs/>
        </w:rPr>
        <w:t xml:space="preserve"> </w:t>
      </w:r>
      <w:proofErr w:type="spellStart"/>
      <w:r w:rsidRPr="00CA3B2A">
        <w:rPr>
          <w:i/>
          <w:iCs/>
        </w:rPr>
        <w:t>mesh-density</w:t>
      </w:r>
      <w:proofErr w:type="spellEnd"/>
      <w:r w:rsidRPr="00CA3B2A">
        <w:rPr>
          <w:i/>
          <w:iCs/>
        </w:rPr>
        <w:t xml:space="preserve"> </w:t>
      </w:r>
      <w:r w:rsidRPr="00CA3B2A">
        <w:t xml:space="preserve">sono state considerate le 5 classi di frammentazione individuate dall’Agenzia Europea per l’Ambiente per la descrizione del </w:t>
      </w:r>
      <w:proofErr w:type="spellStart"/>
      <w:r w:rsidRPr="00CA3B2A">
        <w:rPr>
          <w:i/>
          <w:iCs/>
        </w:rPr>
        <w:t>Landscape</w:t>
      </w:r>
      <w:proofErr w:type="spellEnd"/>
      <w:r w:rsidRPr="00CA3B2A">
        <w:rPr>
          <w:i/>
          <w:iCs/>
        </w:rPr>
        <w:t xml:space="preserve"> </w:t>
      </w:r>
      <w:proofErr w:type="spellStart"/>
      <w:r w:rsidRPr="00CA3B2A">
        <w:rPr>
          <w:i/>
          <w:iCs/>
        </w:rPr>
        <w:t>fragmentation</w:t>
      </w:r>
      <w:proofErr w:type="spellEnd"/>
      <w:r w:rsidRPr="00CA3B2A">
        <w:rPr>
          <w:i/>
          <w:iCs/>
        </w:rPr>
        <w:t xml:space="preserve"> </w:t>
      </w:r>
      <w:proofErr w:type="spellStart"/>
      <w:r w:rsidRPr="00CA3B2A">
        <w:rPr>
          <w:i/>
          <w:iCs/>
        </w:rPr>
        <w:t>indicator</w:t>
      </w:r>
      <w:proofErr w:type="spellEnd"/>
      <w:r w:rsidRPr="00CA3B2A">
        <w:rPr>
          <w:i/>
          <w:iCs/>
        </w:rPr>
        <w:t xml:space="preserve"> </w:t>
      </w:r>
      <w:proofErr w:type="spellStart"/>
      <w:r w:rsidRPr="00CA3B2A">
        <w:rPr>
          <w:i/>
          <w:iCs/>
        </w:rPr>
        <w:t>effective</w:t>
      </w:r>
      <w:proofErr w:type="spellEnd"/>
      <w:r w:rsidRPr="00CA3B2A">
        <w:rPr>
          <w:i/>
          <w:iCs/>
        </w:rPr>
        <w:t xml:space="preserve"> </w:t>
      </w:r>
      <w:proofErr w:type="spellStart"/>
      <w:r w:rsidRPr="00CA3B2A">
        <w:rPr>
          <w:i/>
          <w:iCs/>
        </w:rPr>
        <w:t>mesh</w:t>
      </w:r>
      <w:proofErr w:type="spellEnd"/>
      <w:r w:rsidRPr="00CA3B2A">
        <w:rPr>
          <w:i/>
          <w:iCs/>
        </w:rPr>
        <w:t xml:space="preserve"> </w:t>
      </w:r>
      <w:proofErr w:type="spellStart"/>
      <w:r w:rsidRPr="00CA3B2A">
        <w:rPr>
          <w:i/>
          <w:iCs/>
        </w:rPr>
        <w:t>density</w:t>
      </w:r>
      <w:proofErr w:type="spellEnd"/>
      <w:r w:rsidRPr="00CA3B2A">
        <w:rPr>
          <w:i/>
          <w:iCs/>
        </w:rPr>
        <w:t xml:space="preserve"> (</w:t>
      </w:r>
      <w:proofErr w:type="spellStart"/>
      <w:r w:rsidRPr="00CA3B2A">
        <w:rPr>
          <w:i/>
          <w:iCs/>
        </w:rPr>
        <w:t>Seff</w:t>
      </w:r>
      <w:proofErr w:type="spellEnd"/>
      <w:r w:rsidRPr="00CA3B2A">
        <w:rPr>
          <w:i/>
          <w:iCs/>
        </w:rPr>
        <w:t>)</w:t>
      </w:r>
      <w:r w:rsidR="005A2389">
        <w:t>:</w:t>
      </w:r>
      <w:bookmarkStart w:id="0" w:name="_GoBack"/>
      <w:bookmarkEnd w:id="0"/>
    </w:p>
    <w:p w14:paraId="5B760593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Seff</w:t>
      </w:r>
      <w:proofErr w:type="spellEnd"/>
      <w:r>
        <w:rPr>
          <w:rFonts w:ascii="Times New Roman" w:hAnsi="Times New Roman" w:cs="Times New Roman"/>
          <w:b/>
          <w:bCs/>
        </w:rPr>
        <w:t xml:space="preserve"> (n° </w:t>
      </w:r>
      <w:proofErr w:type="spellStart"/>
      <w:r>
        <w:rPr>
          <w:rFonts w:ascii="Times New Roman" w:hAnsi="Times New Roman" w:cs="Times New Roman"/>
          <w:b/>
          <w:bCs/>
        </w:rPr>
        <w:t>meshes</w:t>
      </w:r>
      <w:proofErr w:type="spellEnd"/>
      <w:r>
        <w:rPr>
          <w:rFonts w:ascii="Times New Roman" w:hAnsi="Times New Roman" w:cs="Times New Roman"/>
          <w:b/>
          <w:bCs/>
        </w:rPr>
        <w:t xml:space="preserve"> per 1.000 km</w:t>
      </w:r>
      <w:r w:rsidR="008B6393" w:rsidRPr="008B6393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ab/>
        <w:t>classe di frammentazione</w:t>
      </w:r>
    </w:p>
    <w:p w14:paraId="59C0CF76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eastAsia="TimesNewRomanPSMT" w:hAnsi="Times New Roman" w:cs="TimesNewRomanPSMT" w:hint="eastAsia"/>
        </w:rPr>
        <w:t>–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1,5 ]</w:t>
      </w:r>
      <w:r>
        <w:rPr>
          <w:rFonts w:ascii="Times New Roman" w:hAnsi="Times New Roman" w:cs="Times New Roman"/>
        </w:rPr>
        <w:tab/>
        <w:t xml:space="preserve"> molto bassa</w:t>
      </w:r>
    </w:p>
    <w:p w14:paraId="54E3D3C2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( 1</w:t>
      </w:r>
      <w:proofErr w:type="gramEnd"/>
      <w:r>
        <w:rPr>
          <w:rFonts w:ascii="Times New Roman" w:hAnsi="Times New Roman" w:cs="Times New Roman"/>
        </w:rPr>
        <w:t xml:space="preserve">,5 </w:t>
      </w:r>
      <w:r>
        <w:rPr>
          <w:rFonts w:ascii="TimesNewRomanPSMT" w:eastAsia="TimesNewRomanPSMT" w:hAnsi="Times New Roman" w:cs="TimesNewRomanPSMT" w:hint="eastAsia"/>
        </w:rPr>
        <w:t>–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10 ]</w:t>
      </w:r>
      <w:r>
        <w:rPr>
          <w:rFonts w:ascii="Times New Roman" w:hAnsi="Times New Roman" w:cs="Times New Roman"/>
        </w:rPr>
        <w:tab/>
        <w:t>bassa</w:t>
      </w:r>
    </w:p>
    <w:p w14:paraId="433F96EA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( 10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eastAsia="TimesNewRomanPSMT" w:hAnsi="Times New Roman" w:cs="TimesNewRomanPSMT" w:hint="eastAsia"/>
        </w:rPr>
        <w:t>–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50 ]</w:t>
      </w:r>
      <w:r>
        <w:rPr>
          <w:rFonts w:ascii="Times New Roman" w:hAnsi="Times New Roman" w:cs="Times New Roman"/>
        </w:rPr>
        <w:tab/>
        <w:t>media</w:t>
      </w:r>
    </w:p>
    <w:p w14:paraId="798D55E3" w14:textId="77777777" w:rsidR="00DF1102" w:rsidRDefault="00DF1102" w:rsidP="00DF1102">
      <w:pPr>
        <w:tabs>
          <w:tab w:val="center" w:pos="2835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( 50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eastAsia="TimesNewRomanPSMT" w:hAnsi="Times New Roman" w:cs="TimesNewRomanPSMT" w:hint="eastAsia"/>
        </w:rPr>
        <w:t>–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250 ]</w:t>
      </w:r>
      <w:r>
        <w:rPr>
          <w:rFonts w:ascii="Times New Roman" w:hAnsi="Times New Roman" w:cs="Times New Roman"/>
        </w:rPr>
        <w:tab/>
        <w:t>elevata</w:t>
      </w:r>
    </w:p>
    <w:p w14:paraId="3E24DF39" w14:textId="77777777" w:rsidR="00660FBA" w:rsidRDefault="00DF1102" w:rsidP="00DF1102">
      <w:pPr>
        <w:tabs>
          <w:tab w:val="center" w:pos="2835"/>
          <w:tab w:val="center" w:pos="6804"/>
        </w:tabs>
      </w:pPr>
      <w:r>
        <w:rPr>
          <w:rFonts w:ascii="Times New Roman" w:hAnsi="Times New Roman" w:cs="Times New Roman"/>
        </w:rPr>
        <w:tab/>
        <w:t>&gt; 250</w:t>
      </w:r>
      <w:r>
        <w:rPr>
          <w:rFonts w:ascii="Times New Roman" w:hAnsi="Times New Roman" w:cs="Times New Roman"/>
        </w:rPr>
        <w:tab/>
        <w:t xml:space="preserve"> molto elevata</w:t>
      </w:r>
    </w:p>
    <w:sectPr w:rsidR="00660FBA" w:rsidSect="00371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BA"/>
    <w:rsid w:val="00106A03"/>
    <w:rsid w:val="0020388F"/>
    <w:rsid w:val="00277EA6"/>
    <w:rsid w:val="00321A03"/>
    <w:rsid w:val="00371AFA"/>
    <w:rsid w:val="0053313A"/>
    <w:rsid w:val="005A2389"/>
    <w:rsid w:val="0064767E"/>
    <w:rsid w:val="00660FBA"/>
    <w:rsid w:val="008110F6"/>
    <w:rsid w:val="008917FF"/>
    <w:rsid w:val="008B6393"/>
    <w:rsid w:val="00A75BB3"/>
    <w:rsid w:val="00B87D9A"/>
    <w:rsid w:val="00CA3B2A"/>
    <w:rsid w:val="00DA1B77"/>
    <w:rsid w:val="00DF1102"/>
    <w:rsid w:val="00E53B89"/>
    <w:rsid w:val="00FA52ED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C866"/>
  <w15:docId w15:val="{F23FA669-B9F3-4F6B-B289-71379E81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AF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pranzo</dc:creator>
  <cp:lastModifiedBy>Ines Marinosci</cp:lastModifiedBy>
  <cp:revision>3</cp:revision>
  <dcterms:created xsi:type="dcterms:W3CDTF">2022-09-13T07:37:00Z</dcterms:created>
  <dcterms:modified xsi:type="dcterms:W3CDTF">2022-09-13T07:52:00Z</dcterms:modified>
</cp:coreProperties>
</file>