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60BBA" w:rsidRDefault="0012197B">
      <w:pPr>
        <w:spacing w:after="0" w:line="240" w:lineRule="auto"/>
        <w:jc w:val="both"/>
        <w:rPr>
          <w:b/>
          <w:color w:val="000000"/>
          <w:highlight w:val="white"/>
        </w:rPr>
      </w:pPr>
      <w:r>
        <w:rPr>
          <w:b/>
          <w:color w:val="000000"/>
          <w:highlight w:val="white"/>
        </w:rPr>
        <w:t>Sintesi riunione Incontro 1-Acque-C2 Classificazione acque superficiali del 23/01/2024</w:t>
      </w:r>
    </w:p>
    <w:p w14:paraId="00000002" w14:textId="77777777" w:rsidR="00C60BBA" w:rsidRDefault="0012197B">
      <w:pPr>
        <w:spacing w:after="0" w:line="240" w:lineRule="auto"/>
        <w:jc w:val="both"/>
        <w:rPr>
          <w:b/>
          <w:color w:val="000000"/>
          <w:highlight w:val="white"/>
        </w:rPr>
      </w:pPr>
      <w:r>
        <w:rPr>
          <w:b/>
          <w:color w:val="000000"/>
          <w:highlight w:val="white"/>
        </w:rPr>
        <w:t>Tematica raggruppati e Interregionali. Proposte approvate e argomenti da discutere</w:t>
      </w:r>
    </w:p>
    <w:p w14:paraId="00000004" w14:textId="77777777" w:rsidR="00C60BBA" w:rsidRDefault="0012197B" w:rsidP="00C7241C">
      <w:pPr>
        <w:spacing w:before="240" w:after="0"/>
        <w:jc w:val="both"/>
        <w:rPr>
          <w:sz w:val="20"/>
          <w:szCs w:val="20"/>
        </w:rPr>
      </w:pPr>
      <w:r>
        <w:rPr>
          <w:color w:val="000000"/>
          <w:sz w:val="20"/>
          <w:szCs w:val="20"/>
        </w:rPr>
        <w:t>Durante l’incontro plenario del 23/01/2024 del</w:t>
      </w:r>
      <w:r>
        <w:rPr>
          <w:sz w:val="20"/>
          <w:szCs w:val="20"/>
        </w:rPr>
        <w:t xml:space="preserve">la sub tematica C2 Classificazione acque superficiali, i primi temi affrontati nella prima parte sono stati quelli non conclusi nel precedente incontro del 15/11/2023 e successivamente sono state affrontate nuove tematiche seguendo lo schema del documento </w:t>
      </w:r>
      <w:r>
        <w:rPr>
          <w:sz w:val="20"/>
          <w:szCs w:val="20"/>
        </w:rPr>
        <w:t xml:space="preserve">Processo sviluppo SUB Tematica C2 Classificazione 2023 I Parte Rev03_12. </w:t>
      </w:r>
    </w:p>
    <w:p w14:paraId="00000005" w14:textId="54EDCF70" w:rsidR="00C60BBA" w:rsidRDefault="0012197B">
      <w:pPr>
        <w:spacing w:after="0"/>
        <w:jc w:val="both"/>
        <w:rPr>
          <w:color w:val="FF00FF"/>
          <w:sz w:val="20"/>
          <w:szCs w:val="20"/>
        </w:rPr>
      </w:pPr>
      <w:r>
        <w:rPr>
          <w:sz w:val="20"/>
          <w:szCs w:val="20"/>
        </w:rPr>
        <w:t xml:space="preserve">Rispetto alla </w:t>
      </w:r>
      <w:r>
        <w:rPr>
          <w:b/>
          <w:sz w:val="20"/>
          <w:szCs w:val="20"/>
        </w:rPr>
        <w:t>compilazione del WISE per lo stato ecologico</w:t>
      </w:r>
      <w:r>
        <w:rPr>
          <w:sz w:val="20"/>
          <w:szCs w:val="20"/>
        </w:rPr>
        <w:t xml:space="preserve"> e all'</w:t>
      </w:r>
      <w:r>
        <w:rPr>
          <w:b/>
          <w:sz w:val="20"/>
          <w:szCs w:val="20"/>
        </w:rPr>
        <w:t>abbinamento dei risultati dei CI monitorati da associare a singolo quality element</w:t>
      </w:r>
      <w:r>
        <w:rPr>
          <w:sz w:val="20"/>
          <w:szCs w:val="20"/>
        </w:rPr>
        <w:t xml:space="preserve"> </w:t>
      </w:r>
      <w:r w:rsidR="00C7241C">
        <w:rPr>
          <w:sz w:val="20"/>
          <w:szCs w:val="20"/>
        </w:rPr>
        <w:t xml:space="preserve">(QE) </w:t>
      </w:r>
      <w:r>
        <w:rPr>
          <w:sz w:val="20"/>
          <w:szCs w:val="20"/>
        </w:rPr>
        <w:t>di un altro CI appartenente al rag</w:t>
      </w:r>
      <w:r>
        <w:rPr>
          <w:sz w:val="20"/>
          <w:szCs w:val="20"/>
        </w:rPr>
        <w:t>gruppamento, sono stati chiesti chiarimenti all’Arpa Veneto e all’Arpa Valle d’Aosta.  Arpa Veneto ha chiarito che i CI utilizzati per queste associazioni provengono tutti dallo stesso raggruppamento e risultano essere CI di un raggruppamento monitorati in</w:t>
      </w:r>
      <w:r>
        <w:rPr>
          <w:sz w:val="20"/>
          <w:szCs w:val="20"/>
        </w:rPr>
        <w:t xml:space="preserve"> più di uno. La Valle d’Aosta (VDA) invece su associazione LIMeco EQB ha affermato che, se non risultasse che LIMeco ed EQB provengono dallo stesso CI direttamente monitorato del raggruppamento, sarebbe solo frutto di errore di compilazione. Si sono riserv</w:t>
      </w:r>
      <w:r>
        <w:rPr>
          <w:sz w:val="20"/>
          <w:szCs w:val="20"/>
        </w:rPr>
        <w:t xml:space="preserve">ati di approfondire l’argomento sia ISPRA che Arpa VDA e controllare se sia lo stesso o diverso CI. Rispetto a questo ultimo argomento, </w:t>
      </w:r>
      <w:r>
        <w:rPr>
          <w:b/>
          <w:sz w:val="20"/>
          <w:szCs w:val="20"/>
        </w:rPr>
        <w:t>LIMeco ed EQB stesso CI,</w:t>
      </w:r>
      <w:r>
        <w:rPr>
          <w:sz w:val="20"/>
          <w:szCs w:val="20"/>
        </w:rPr>
        <w:t xml:space="preserve"> anche qui si è sviluppata una discussione circa l’opportunità che, nella compilazione dei quali</w:t>
      </w:r>
      <w:r>
        <w:rPr>
          <w:sz w:val="20"/>
          <w:szCs w:val="20"/>
        </w:rPr>
        <w:t>ty elements</w:t>
      </w:r>
      <w:r w:rsidR="00C7241C">
        <w:rPr>
          <w:sz w:val="20"/>
          <w:szCs w:val="20"/>
        </w:rPr>
        <w:t xml:space="preserve"> (QE)</w:t>
      </w:r>
      <w:r>
        <w:rPr>
          <w:sz w:val="20"/>
          <w:szCs w:val="20"/>
        </w:rPr>
        <w:t xml:space="preserve"> dello stato ecologico nel WISE, i dati di LIMeco (leggi LTLeco </w:t>
      </w:r>
      <w:r w:rsidR="00C7241C">
        <w:rPr>
          <w:sz w:val="20"/>
          <w:szCs w:val="20"/>
        </w:rPr>
        <w:t>per invasi</w:t>
      </w:r>
      <w:r>
        <w:rPr>
          <w:sz w:val="20"/>
          <w:szCs w:val="20"/>
        </w:rPr>
        <w:t xml:space="preserve">) ed EQB provengano dal medesimo CI e non da CI diversi, in quanto il LIMeco (LTLeco </w:t>
      </w:r>
      <w:r w:rsidR="00C7241C">
        <w:rPr>
          <w:sz w:val="20"/>
          <w:szCs w:val="20"/>
        </w:rPr>
        <w:t>per</w:t>
      </w:r>
      <w:r>
        <w:rPr>
          <w:sz w:val="20"/>
          <w:szCs w:val="20"/>
        </w:rPr>
        <w:t xml:space="preserve"> </w:t>
      </w:r>
      <w:r w:rsidR="00C7241C">
        <w:rPr>
          <w:sz w:val="20"/>
          <w:szCs w:val="20"/>
        </w:rPr>
        <w:t>invasi</w:t>
      </w:r>
      <w:r>
        <w:rPr>
          <w:sz w:val="20"/>
          <w:szCs w:val="20"/>
        </w:rPr>
        <w:t xml:space="preserve">) è </w:t>
      </w:r>
      <w:r>
        <w:rPr>
          <w:sz w:val="20"/>
          <w:szCs w:val="20"/>
        </w:rPr>
        <w:t>parametro di supporto rispetto agli EQB. E’ stato anche richiesto alle Ag</w:t>
      </w:r>
      <w:r>
        <w:rPr>
          <w:sz w:val="20"/>
          <w:szCs w:val="20"/>
        </w:rPr>
        <w:t>enzie presenti se questa considerazione fosse condivisibile, alcune hanno risposto affermativamente.</w:t>
      </w:r>
    </w:p>
    <w:p w14:paraId="00000006" w14:textId="77777777" w:rsidR="00C60BBA" w:rsidRDefault="0012197B">
      <w:pPr>
        <w:spacing w:after="0"/>
        <w:jc w:val="both"/>
        <w:rPr>
          <w:color w:val="5B9BD5"/>
          <w:sz w:val="20"/>
          <w:szCs w:val="20"/>
        </w:rPr>
      </w:pPr>
      <w:r>
        <w:rPr>
          <w:sz w:val="20"/>
          <w:szCs w:val="20"/>
        </w:rPr>
        <w:t xml:space="preserve">Altri argomenti che sono stati affrontati durante la discussione riguardano lo </w:t>
      </w:r>
      <w:r>
        <w:rPr>
          <w:b/>
          <w:sz w:val="20"/>
          <w:szCs w:val="20"/>
        </w:rPr>
        <w:t>Stato di qualità dei di CI appartenenti allo stesso raggruppamento</w:t>
      </w:r>
      <w:r>
        <w:rPr>
          <w:sz w:val="20"/>
          <w:szCs w:val="20"/>
        </w:rPr>
        <w:t>, che in l</w:t>
      </w:r>
      <w:r>
        <w:rPr>
          <w:sz w:val="20"/>
          <w:szCs w:val="20"/>
        </w:rPr>
        <w:t>inea con quanto specifica la norma dovrebbe essere lo stesso per tutti gli indicatori/parametri monitorati, perché il raggruppamento si applica sulla stessa categoria e allo stesso tipo ma anche per la stessa tipologia di pressione considerandone l’ampiezz</w:t>
      </w:r>
      <w:r>
        <w:rPr>
          <w:sz w:val="20"/>
          <w:szCs w:val="20"/>
        </w:rPr>
        <w:t>a e l’impatto. E’ stata sottolineata da parte di ISPRA l’</w:t>
      </w:r>
      <w:r>
        <w:rPr>
          <w:b/>
          <w:sz w:val="20"/>
          <w:szCs w:val="20"/>
        </w:rPr>
        <w:t>importanza di avere il quadro delle informazioni/conoscenze su singole sostanze funzionale per la gestione del corpo idrico, in particolare laddove queste conoscenze sono imprescindibili per la corre</w:t>
      </w:r>
      <w:r>
        <w:rPr>
          <w:b/>
          <w:sz w:val="20"/>
          <w:szCs w:val="20"/>
        </w:rPr>
        <w:t>tta definizione e applicazione delle conseguenti misure</w:t>
      </w:r>
      <w:r>
        <w:rPr>
          <w:sz w:val="20"/>
          <w:szCs w:val="20"/>
        </w:rPr>
        <w:t xml:space="preserve"> per il raggiungimento dell'obiettivo. Questa specifica è emersa in relazione a qualche caso evidenziato in cui, in alcuni raggruppamenti, coesistevano CI per i quali non era stato esteso il superament</w:t>
      </w:r>
      <w:r>
        <w:rPr>
          <w:sz w:val="20"/>
          <w:szCs w:val="20"/>
        </w:rPr>
        <w:t>o dei singoli parametri di Tab 1/b (es pesticidi) in quanto non essendo CI monitorati direttamente sono sorte perplessità nel dare certezza della presenza di una sostanza senza aver verificato direttamente l’effettiva presenza in quei CI raggruppati dove m</w:t>
      </w:r>
      <w:r>
        <w:rPr>
          <w:sz w:val="20"/>
          <w:szCs w:val="20"/>
        </w:rPr>
        <w:t xml:space="preserve">agari insistevano specifiche colture del territorio nel quale ricade il CI. </w:t>
      </w:r>
    </w:p>
    <w:p w14:paraId="00000007" w14:textId="77777777" w:rsidR="00C60BBA" w:rsidRDefault="0012197B">
      <w:pPr>
        <w:spacing w:after="0"/>
        <w:jc w:val="both"/>
        <w:rPr>
          <w:sz w:val="20"/>
          <w:szCs w:val="20"/>
        </w:rPr>
      </w:pPr>
      <w:r>
        <w:rPr>
          <w:sz w:val="20"/>
          <w:szCs w:val="20"/>
        </w:rPr>
        <w:t>Rispetto al tema sollevato da Appa Trento circa la</w:t>
      </w:r>
      <w:r>
        <w:rPr>
          <w:b/>
          <w:sz w:val="20"/>
          <w:szCs w:val="20"/>
        </w:rPr>
        <w:t xml:space="preserve"> mancata risposta degli EQB biologici ai prelievi d’acqua</w:t>
      </w:r>
      <w:r>
        <w:rPr>
          <w:sz w:val="20"/>
          <w:szCs w:val="20"/>
        </w:rPr>
        <w:t>, anche nei casi di gravi modifiche idrologiche conseguenti, dalla discu</w:t>
      </w:r>
      <w:r>
        <w:rPr>
          <w:sz w:val="20"/>
          <w:szCs w:val="20"/>
        </w:rPr>
        <w:t xml:space="preserve">ssione, è emerso che potrebbe essere il caso di mettere in evidenza al MASE (dopo aver fatto il punto della situazione), magari in maniera più incisiva, che esiste un problema di risposte rispetto alle metriche attualmente in uso per gli EQB biologici che </w:t>
      </w:r>
      <w:r>
        <w:rPr>
          <w:sz w:val="20"/>
          <w:szCs w:val="20"/>
        </w:rPr>
        <w:t>non appaiono sensibili a queste sollecitazioni. In parallelo è stato suggerito/proposto di incentivare l’uso di IARI, IQM e dell’EQB fauna ittica, che in questi casi invece risultano idonei a rilevare l’impatto. Sempre rispetto al tema pressioni idromorfol</w:t>
      </w:r>
      <w:r>
        <w:rPr>
          <w:sz w:val="20"/>
          <w:szCs w:val="20"/>
        </w:rPr>
        <w:t xml:space="preserve">ogiche e nel caso specifico dei prelievi significativi, rispetto al comportamento di alcune Agenzie, che raggruppano CI a prescindere dall’uso delle acque (agricolo, idroelettrico, potabile), la risposta di ISPRA è stata che non ritenevano che prelievi di </w:t>
      </w:r>
      <w:r>
        <w:rPr>
          <w:sz w:val="20"/>
          <w:szCs w:val="20"/>
        </w:rPr>
        <w:t>diversa natura avessero lo stesso impatto sui CI e anzi, in situazioni in cui il prelievo fosse la pressione predominante significativa, non fosse indicato l’accorpamento in quanto non distingue per destinazione d’uso delle acque. Il tema è poi strettament</w:t>
      </w:r>
      <w:r>
        <w:rPr>
          <w:sz w:val="20"/>
          <w:szCs w:val="20"/>
        </w:rPr>
        <w:t>e collegato al fatto, che nel nostro paese esistono problemi di scarsità idrica e siccità e che ci dovrebbe essere una coerenza tra quello che si fa emergere e quello che si va a chiedere.</w:t>
      </w:r>
    </w:p>
    <w:p w14:paraId="00000008" w14:textId="77777777" w:rsidR="00C60BBA" w:rsidRDefault="0012197B">
      <w:pPr>
        <w:jc w:val="both"/>
        <w:rPr>
          <w:color w:val="FF00FF"/>
          <w:sz w:val="20"/>
          <w:szCs w:val="20"/>
          <w:highlight w:val="yellow"/>
        </w:rPr>
      </w:pPr>
      <w:r>
        <w:rPr>
          <w:sz w:val="20"/>
          <w:szCs w:val="20"/>
        </w:rPr>
        <w:t xml:space="preserve">La discussione si è anche occupata dell’argomento </w:t>
      </w:r>
      <w:r>
        <w:rPr>
          <w:b/>
          <w:sz w:val="20"/>
          <w:szCs w:val="20"/>
        </w:rPr>
        <w:t>pressioni puntual</w:t>
      </w:r>
      <w:r>
        <w:rPr>
          <w:b/>
          <w:sz w:val="20"/>
          <w:szCs w:val="20"/>
        </w:rPr>
        <w:t>i significative</w:t>
      </w:r>
      <w:r>
        <w:rPr>
          <w:sz w:val="20"/>
          <w:szCs w:val="20"/>
        </w:rPr>
        <w:t xml:space="preserve"> in senso generale, che nella definizione dei raggruppamenti devono essere prese in considerazione come fattore che esclude il CI dalla pratica del raggruppamento (come da norma). Alcune Agenzie hanno chiarito che seguono questa indicazione,</w:t>
      </w:r>
      <w:r>
        <w:rPr>
          <w:sz w:val="20"/>
          <w:szCs w:val="20"/>
        </w:rPr>
        <w:t xml:space="preserve"> mentre altre hanno fatto presente che in taluni casi con dati che possono dimostrare la validità del raggruppamento invece sono stati accoppiati CI con pressioni puntuali significative simili se non identiche in termini di impatto (es Piemonte). Altre inv</w:t>
      </w:r>
      <w:r>
        <w:rPr>
          <w:sz w:val="20"/>
          <w:szCs w:val="20"/>
        </w:rPr>
        <w:t>ece effettuano raggruppamenti di CI con pressioni puntuali significative simili, valutando a valle le risultanze e in taluni casi non estendendo alcuni valori non conformi ai CI appartenenti al raggruppamento. In risposta a quanto esposto sui casi particol</w:t>
      </w:r>
      <w:r>
        <w:rPr>
          <w:sz w:val="20"/>
          <w:szCs w:val="20"/>
        </w:rPr>
        <w:t xml:space="preserve">ari circa il raggruppamento di CI con pressioni puntuali, la Bussettini di ISPRA ha proposto, che nel rispetto dei principi normativi con i quali effettuare i raggruppamento, si potrebbe magari pensare di inserire in LG esempi di singoli casi (tipo </w:t>
      </w:r>
      <w:r>
        <w:rPr>
          <w:b/>
          <w:sz w:val="20"/>
          <w:szCs w:val="20"/>
        </w:rPr>
        <w:t>casi st</w:t>
      </w:r>
      <w:r>
        <w:rPr>
          <w:b/>
          <w:sz w:val="20"/>
          <w:szCs w:val="20"/>
        </w:rPr>
        <w:t>udio) dettagliati e giustificati</w:t>
      </w:r>
      <w:r>
        <w:rPr>
          <w:sz w:val="20"/>
          <w:szCs w:val="20"/>
        </w:rPr>
        <w:t xml:space="preserve"> con dati e informazioni a supporto, che potrebbero inquadrarsi come evidenze prodotte in base alle esperienze e solo per particolari situazioni. Da qui  è emersa l’idea che come Sistema </w:t>
      </w:r>
      <w:r>
        <w:rPr>
          <w:sz w:val="20"/>
          <w:szCs w:val="20"/>
        </w:rPr>
        <w:lastRenderedPageBreak/>
        <w:t>SNPA, ai fini di un confronto normati</w:t>
      </w:r>
      <w:r>
        <w:rPr>
          <w:sz w:val="20"/>
          <w:szCs w:val="20"/>
        </w:rPr>
        <w:t xml:space="preserve">vo successivo, sarebbe possibile utilizzare  le risultanze dei monitoraggi derivanti da questa tipologia di raggruppamenti  magari sviluppando la questione in altri contesti. Questo in base al fatto che uno dei compiti del Sistema Agenziale è anche quello </w:t>
      </w:r>
      <w:r>
        <w:rPr>
          <w:sz w:val="20"/>
          <w:szCs w:val="20"/>
        </w:rPr>
        <w:t>di far emergere queste criticità di applicazione normativa. Rispetto al tema invece dell’</w:t>
      </w:r>
      <w:r>
        <w:rPr>
          <w:b/>
          <w:sz w:val="20"/>
          <w:szCs w:val="20"/>
        </w:rPr>
        <w:t>estensione dello stato dei CI direttamente monitorato/i per alcuni parametri</w:t>
      </w:r>
      <w:r>
        <w:rPr>
          <w:sz w:val="20"/>
          <w:szCs w:val="20"/>
        </w:rPr>
        <w:t xml:space="preserve"> che compongono lo stato ecologico si è ritenuto che fosse necessario specificare nella lin</w:t>
      </w:r>
      <w:r>
        <w:rPr>
          <w:sz w:val="20"/>
          <w:szCs w:val="20"/>
        </w:rPr>
        <w:t>ea guida di</w:t>
      </w:r>
      <w:r>
        <w:rPr>
          <w:b/>
          <w:sz w:val="20"/>
          <w:szCs w:val="20"/>
        </w:rPr>
        <w:t xml:space="preserve"> non estendere gli indici IARI e IQM,</w:t>
      </w:r>
      <w:r>
        <w:rPr>
          <w:sz w:val="20"/>
          <w:szCs w:val="20"/>
        </w:rPr>
        <w:t xml:space="preserve"> in quanto ritenuti sito specifici e per i quali sarebbe più opportuno un monitoraggio diretto, che interessi tutti i CI idrici per i quali è necessario definire lo stato. Di fatto, quindi, non ricavando lo s</w:t>
      </w:r>
      <w:r>
        <w:rPr>
          <w:sz w:val="20"/>
          <w:szCs w:val="20"/>
        </w:rPr>
        <w:t xml:space="preserve">tato definito da questi indici da accorpamento. E’ emerso anche il tema della </w:t>
      </w:r>
      <w:r>
        <w:rPr>
          <w:b/>
          <w:sz w:val="20"/>
          <w:szCs w:val="20"/>
        </w:rPr>
        <w:t>non estensione dello stato di qualità ricavato dall’EQB fauna ittica,</w:t>
      </w:r>
      <w:r>
        <w:rPr>
          <w:sz w:val="20"/>
          <w:szCs w:val="20"/>
        </w:rPr>
        <w:t xml:space="preserve"> da parte di alcune Agenzie. Per questo tema non è stata trovata una soluzione, potrebbe essere ripreso quand</w:t>
      </w:r>
      <w:r>
        <w:rPr>
          <w:sz w:val="20"/>
          <w:szCs w:val="20"/>
        </w:rPr>
        <w:t>o si affronterà il tema dell’utilizzo del NISECI ai fini della classificazione. Collegato a questo tema è stato espresso da Arpae, che a questo proposito, l’unificazione dei comportamenti è necessaria ai fini della confrontabilità del dato finale, in quant</w:t>
      </w:r>
      <w:r>
        <w:rPr>
          <w:sz w:val="20"/>
          <w:szCs w:val="20"/>
        </w:rPr>
        <w:t>o porta tutti ad avere gli stessi risultati. Comportamenti difformi nella attuazione dei monitoraggi e nella definizione dei risultati (Stati) con utilizzo di regole differenti ha come conseguenza l’ottenimento di risultati diversi che possono portare a vo</w:t>
      </w:r>
      <w:r>
        <w:rPr>
          <w:sz w:val="20"/>
          <w:szCs w:val="20"/>
        </w:rPr>
        <w:t>lte a sovrastima dello stato reale e che non sono paragonabili a quelli di chi non ha usato le stesse regole. Ai fini della scopo non è corretto. Nel caso specifico se le Agenzie hanno comportamenti diversi rispetto all’esclusione (come da norma) o meno de</w:t>
      </w:r>
      <w:r>
        <w:rPr>
          <w:sz w:val="20"/>
          <w:szCs w:val="20"/>
        </w:rPr>
        <w:t>lle pressioni puntuali significative nell’ambito dei raggruppamenti associata ad una gestione difforme anche dei risultati, che nel secondo caso vengono affinati per avere risposte coerenti, allora è possibile che  la prima avrà dei risultati peggiori in r</w:t>
      </w:r>
      <w:r>
        <w:rPr>
          <w:sz w:val="20"/>
          <w:szCs w:val="20"/>
        </w:rPr>
        <w:t>elazione a quelli della seconda che di contro li avrà migliori. Da notare però che nel secondo caso ciò non rispecchia quello che è lo stato reale del corpo idrico della Regione  almeno per i CI non direttamente monitorati. Durante la discussione si è anch</w:t>
      </w:r>
      <w:r>
        <w:rPr>
          <w:sz w:val="20"/>
          <w:szCs w:val="20"/>
        </w:rPr>
        <w:t xml:space="preserve">e accennato alla richiesta di chiarimenti inviata dal MASE alle Autorità di bacino distrettuali circa l'allineamento del sessennio. </w:t>
      </w:r>
    </w:p>
    <w:p w14:paraId="00000009" w14:textId="77777777" w:rsidR="00C60BBA" w:rsidRDefault="0012197B">
      <w:pPr>
        <w:rPr>
          <w:sz w:val="20"/>
          <w:szCs w:val="20"/>
        </w:rPr>
      </w:pPr>
      <w:r>
        <w:rPr>
          <w:sz w:val="20"/>
          <w:szCs w:val="20"/>
        </w:rPr>
        <w:t>I Nuovi Argomenti affrontati sono stati i seguenti con approvazione da parte del tavolo :</w:t>
      </w:r>
    </w:p>
    <w:p w14:paraId="0000000A" w14:textId="77777777" w:rsidR="00C60BBA" w:rsidRDefault="0012197B">
      <w:pPr>
        <w:numPr>
          <w:ilvl w:val="0"/>
          <w:numId w:val="2"/>
        </w:numPr>
        <w:spacing w:after="0" w:line="276" w:lineRule="auto"/>
        <w:jc w:val="both"/>
        <w:rPr>
          <w:color w:val="5B9BD5"/>
          <w:sz w:val="20"/>
          <w:szCs w:val="20"/>
        </w:rPr>
      </w:pPr>
      <w:r>
        <w:rPr>
          <w:b/>
          <w:sz w:val="20"/>
          <w:szCs w:val="20"/>
        </w:rPr>
        <w:t>18.</w:t>
      </w:r>
      <w:r>
        <w:rPr>
          <w:sz w:val="20"/>
          <w:szCs w:val="20"/>
        </w:rPr>
        <w:t xml:space="preserve"> Switch dei raggruppati</w:t>
      </w:r>
      <w:r>
        <w:rPr>
          <w:color w:val="5B9BD5"/>
          <w:sz w:val="20"/>
          <w:szCs w:val="20"/>
        </w:rPr>
        <w:t xml:space="preserve"> </w:t>
      </w:r>
      <w:r>
        <w:rPr>
          <w:sz w:val="20"/>
          <w:szCs w:val="20"/>
        </w:rPr>
        <w:t>o moni</w:t>
      </w:r>
      <w:r>
        <w:rPr>
          <w:sz w:val="20"/>
          <w:szCs w:val="20"/>
        </w:rPr>
        <w:t xml:space="preserve">toraggio di più CI all’interno del raggruppamento </w:t>
      </w:r>
    </w:p>
    <w:p w14:paraId="0000000B" w14:textId="77777777" w:rsidR="00C60BBA" w:rsidRDefault="0012197B">
      <w:pPr>
        <w:numPr>
          <w:ilvl w:val="0"/>
          <w:numId w:val="2"/>
        </w:numPr>
        <w:spacing w:after="0" w:line="276" w:lineRule="auto"/>
        <w:jc w:val="both"/>
        <w:rPr>
          <w:color w:val="5B9BD5"/>
          <w:sz w:val="20"/>
          <w:szCs w:val="20"/>
        </w:rPr>
      </w:pPr>
      <w:r>
        <w:rPr>
          <w:b/>
          <w:sz w:val="20"/>
          <w:szCs w:val="20"/>
        </w:rPr>
        <w:t xml:space="preserve">18.a </w:t>
      </w:r>
      <w:r>
        <w:rPr>
          <w:sz w:val="20"/>
          <w:szCs w:val="20"/>
        </w:rPr>
        <w:t>Gestione classificazioni non uniforme dei Ci monitorati</w:t>
      </w:r>
      <w:r>
        <w:rPr>
          <w:rFonts w:ascii="Arial" w:eastAsia="Arial" w:hAnsi="Arial" w:cs="Arial"/>
          <w:b/>
          <w:color w:val="073763"/>
        </w:rPr>
        <w:t xml:space="preserve"> </w:t>
      </w:r>
      <w:r>
        <w:rPr>
          <w:sz w:val="20"/>
          <w:szCs w:val="20"/>
        </w:rPr>
        <w:t>all’interno del raggruppamento</w:t>
      </w:r>
      <w:r>
        <w:rPr>
          <w:rFonts w:ascii="Arial" w:eastAsia="Arial" w:hAnsi="Arial" w:cs="Arial"/>
          <w:b/>
          <w:color w:val="073763"/>
        </w:rPr>
        <w:t xml:space="preserve"> </w:t>
      </w:r>
    </w:p>
    <w:p w14:paraId="0000000C" w14:textId="77777777" w:rsidR="00C60BBA" w:rsidRDefault="0012197B">
      <w:pPr>
        <w:numPr>
          <w:ilvl w:val="0"/>
          <w:numId w:val="2"/>
        </w:numPr>
        <w:spacing w:after="0" w:line="276" w:lineRule="auto"/>
        <w:jc w:val="both"/>
        <w:rPr>
          <w:color w:val="FF00FF"/>
          <w:sz w:val="20"/>
          <w:szCs w:val="20"/>
        </w:rPr>
      </w:pPr>
      <w:r>
        <w:rPr>
          <w:sz w:val="20"/>
          <w:szCs w:val="20"/>
        </w:rPr>
        <w:t xml:space="preserve">Criteri di massima per accordi tra Agenzie ai fini del monitoraggio dei fiumi e laghi Interregionali </w:t>
      </w:r>
    </w:p>
    <w:p w14:paraId="0000000D" w14:textId="77777777" w:rsidR="00C60BBA" w:rsidRDefault="00C60BBA">
      <w:pPr>
        <w:spacing w:after="0"/>
        <w:jc w:val="both"/>
        <w:rPr>
          <w:sz w:val="20"/>
          <w:szCs w:val="20"/>
        </w:rPr>
      </w:pPr>
    </w:p>
    <w:p w14:paraId="0000000E" w14:textId="77777777" w:rsidR="00C60BBA" w:rsidRDefault="0012197B">
      <w:pPr>
        <w:spacing w:after="0"/>
        <w:jc w:val="both"/>
        <w:rPr>
          <w:b/>
          <w:sz w:val="20"/>
          <w:szCs w:val="20"/>
        </w:rPr>
      </w:pPr>
      <w:r>
        <w:rPr>
          <w:sz w:val="20"/>
          <w:szCs w:val="20"/>
        </w:rPr>
        <w:t xml:space="preserve">Dopo qualche scambio di idee sono state formulate delle proposte che sono riportate nella sezione PROPOSTE Approvate con modifiche in rosso (di seguito nel documento) e che sono state approvate nella sostanza dal gruppo. </w:t>
      </w:r>
    </w:p>
    <w:p w14:paraId="0000000F" w14:textId="77777777" w:rsidR="00C60BBA" w:rsidRDefault="00C60BBA">
      <w:pPr>
        <w:spacing w:after="0" w:line="240" w:lineRule="auto"/>
        <w:jc w:val="both"/>
        <w:rPr>
          <w:b/>
          <w:sz w:val="20"/>
          <w:szCs w:val="20"/>
        </w:rPr>
      </w:pPr>
    </w:p>
    <w:p w14:paraId="00000010" w14:textId="77777777" w:rsidR="00C60BBA" w:rsidRDefault="0012197B">
      <w:pPr>
        <w:spacing w:after="0" w:line="240" w:lineRule="auto"/>
        <w:jc w:val="both"/>
        <w:rPr>
          <w:b/>
          <w:color w:val="000000"/>
          <w:sz w:val="20"/>
          <w:szCs w:val="20"/>
        </w:rPr>
      </w:pPr>
      <w:r>
        <w:rPr>
          <w:b/>
          <w:color w:val="000000"/>
          <w:sz w:val="20"/>
          <w:szCs w:val="20"/>
        </w:rPr>
        <w:t xml:space="preserve">PROPOSTE Approvate con modifiche </w:t>
      </w:r>
      <w:r>
        <w:rPr>
          <w:b/>
          <w:color w:val="000000"/>
          <w:sz w:val="20"/>
          <w:szCs w:val="20"/>
        </w:rPr>
        <w:t xml:space="preserve">in </w:t>
      </w:r>
      <w:r>
        <w:rPr>
          <w:b/>
          <w:color w:val="FF0000"/>
          <w:sz w:val="20"/>
          <w:szCs w:val="20"/>
        </w:rPr>
        <w:t>rosso</w:t>
      </w:r>
    </w:p>
    <w:p w14:paraId="00000011" w14:textId="77777777" w:rsidR="00C60BBA" w:rsidRDefault="0012197B">
      <w:pPr>
        <w:spacing w:before="240" w:after="0" w:line="240" w:lineRule="auto"/>
        <w:rPr>
          <w:b/>
          <w:color w:val="4472C4"/>
        </w:rPr>
      </w:pPr>
      <w:bookmarkStart w:id="0" w:name="_heading=h.gjdgxs" w:colFirst="0" w:colLast="0"/>
      <w:bookmarkEnd w:id="0"/>
      <w:r>
        <w:rPr>
          <w:b/>
          <w:color w:val="4472C4"/>
        </w:rPr>
        <w:t>Tabella 1 Raggruppamento/accorpamento estensione classificazione</w:t>
      </w:r>
    </w:p>
    <w:p w14:paraId="00000012" w14:textId="77777777" w:rsidR="00C60BBA" w:rsidRDefault="0012197B" w:rsidP="00C7241C">
      <w:pPr>
        <w:spacing w:before="120" w:after="0" w:line="240" w:lineRule="auto"/>
        <w:rPr>
          <w:b/>
          <w:color w:val="000000"/>
          <w:sz w:val="20"/>
          <w:szCs w:val="20"/>
        </w:rPr>
      </w:pPr>
      <w:r>
        <w:rPr>
          <w:b/>
          <w:color w:val="4472C4"/>
        </w:rPr>
        <w:t>17. Criteri raggruppamento</w:t>
      </w:r>
    </w:p>
    <w:p w14:paraId="00000013" w14:textId="77777777" w:rsidR="00C60BBA" w:rsidRDefault="0012197B">
      <w:pPr>
        <w:pBdr>
          <w:top w:val="nil"/>
          <w:left w:val="nil"/>
          <w:bottom w:val="nil"/>
          <w:right w:val="nil"/>
          <w:between w:val="nil"/>
        </w:pBdr>
        <w:spacing w:after="0" w:line="240" w:lineRule="auto"/>
        <w:jc w:val="both"/>
        <w:rPr>
          <w:b/>
          <w:color w:val="000000"/>
          <w:sz w:val="20"/>
          <w:szCs w:val="20"/>
        </w:rPr>
      </w:pPr>
      <w:r>
        <w:rPr>
          <w:b/>
          <w:color w:val="000000"/>
          <w:sz w:val="20"/>
          <w:szCs w:val="20"/>
        </w:rPr>
        <w:t>Punto a. Rivisitazione periodica dei raggruppamenti ed aggiornamento criteri:</w:t>
      </w:r>
      <w:r>
        <w:rPr>
          <w:color w:val="FF0000"/>
          <w:sz w:val="20"/>
          <w:szCs w:val="20"/>
        </w:rPr>
        <w:t xml:space="preserve"> </w:t>
      </w:r>
      <w:r>
        <w:rPr>
          <w:color w:val="000000"/>
          <w:sz w:val="20"/>
          <w:szCs w:val="20"/>
        </w:rPr>
        <w:t xml:space="preserve">OK dal gruppo all’indicazione di una rivisitazione periodica dei raggruppamenti, con delle cadenze che ognuno ritiene opportune, anche a seguito di modifiche alla delimitazione dei corpi idrici e all’aggiornamento delle condizioni di rischio. </w:t>
      </w:r>
      <w:r>
        <w:rPr>
          <w:b/>
          <w:color w:val="000000"/>
          <w:sz w:val="20"/>
          <w:szCs w:val="20"/>
        </w:rPr>
        <w:t xml:space="preserve"> OK 15/11/2</w:t>
      </w:r>
      <w:r>
        <w:rPr>
          <w:b/>
          <w:sz w:val="20"/>
          <w:szCs w:val="20"/>
        </w:rPr>
        <w:t>3</w:t>
      </w:r>
    </w:p>
    <w:p w14:paraId="00000014" w14:textId="77777777" w:rsidR="00C60BBA" w:rsidRDefault="0012197B">
      <w:pPr>
        <w:spacing w:after="0" w:line="240" w:lineRule="auto"/>
        <w:jc w:val="both"/>
        <w:rPr>
          <w:color w:val="000000"/>
          <w:sz w:val="20"/>
          <w:szCs w:val="20"/>
        </w:rPr>
      </w:pPr>
      <w:r>
        <w:rPr>
          <w:b/>
          <w:sz w:val="20"/>
          <w:szCs w:val="20"/>
        </w:rPr>
        <w:t xml:space="preserve">Punto b. </w:t>
      </w:r>
      <w:r>
        <w:rPr>
          <w:b/>
          <w:color w:val="000000"/>
          <w:sz w:val="20"/>
          <w:szCs w:val="20"/>
        </w:rPr>
        <w:t xml:space="preserve">Bacini idrografici contigui: </w:t>
      </w:r>
      <w:r>
        <w:rPr>
          <w:color w:val="000000"/>
          <w:sz w:val="20"/>
          <w:szCs w:val="20"/>
        </w:rPr>
        <w:t>una seconda opzione, successiva alla scelta di raggruppare CI appartenenti allo stesso bacino idrografico, dovrebbe essere quella di utilizzare CI collocati in ambiti territoriali/bacini idrografici contigui e nel caso</w:t>
      </w:r>
      <w:r>
        <w:rPr>
          <w:color w:val="000000"/>
          <w:sz w:val="20"/>
          <w:szCs w:val="20"/>
        </w:rPr>
        <w:t xml:space="preserve"> non fosse possibile successivamente scegliere CI appartenenti a bacini idrografici distanti, ma aventi le caratteristiche omogenee. </w:t>
      </w:r>
      <w:r>
        <w:rPr>
          <w:b/>
          <w:sz w:val="20"/>
          <w:szCs w:val="20"/>
        </w:rPr>
        <w:t>OK 15/11/23</w:t>
      </w:r>
    </w:p>
    <w:p w14:paraId="00000015" w14:textId="77777777" w:rsidR="00C60BBA" w:rsidRDefault="0012197B">
      <w:pPr>
        <w:spacing w:after="0" w:line="240" w:lineRule="auto"/>
        <w:jc w:val="both"/>
        <w:rPr>
          <w:rFonts w:ascii="Times New Roman" w:eastAsia="Times New Roman" w:hAnsi="Times New Roman" w:cs="Times New Roman"/>
          <w:sz w:val="24"/>
          <w:szCs w:val="24"/>
        </w:rPr>
      </w:pPr>
      <w:r>
        <w:rPr>
          <w:b/>
          <w:color w:val="000000"/>
          <w:sz w:val="20"/>
          <w:szCs w:val="20"/>
        </w:rPr>
        <w:t>Esclusione CI con pressioni puntuali significative</w:t>
      </w:r>
      <w:r>
        <w:rPr>
          <w:b/>
          <w:color w:val="70AD47"/>
          <w:sz w:val="20"/>
          <w:szCs w:val="20"/>
        </w:rPr>
        <w:t>:</w:t>
      </w:r>
      <w:r>
        <w:rPr>
          <w:color w:val="70AD47"/>
          <w:sz w:val="20"/>
          <w:szCs w:val="20"/>
        </w:rPr>
        <w:t xml:space="preserve"> </w:t>
      </w:r>
      <w:r>
        <w:rPr>
          <w:color w:val="000000"/>
          <w:sz w:val="20"/>
          <w:szCs w:val="20"/>
        </w:rPr>
        <w:t>i CI sottoposti a pressioni puntuali significative, che det</w:t>
      </w:r>
      <w:r>
        <w:rPr>
          <w:color w:val="000000"/>
          <w:sz w:val="20"/>
          <w:szCs w:val="20"/>
        </w:rPr>
        <w:t xml:space="preserve">erminano uno stato peculiare per il CI sono esclusi dal raggruppamento, </w:t>
      </w:r>
      <w:r>
        <w:rPr>
          <w:color w:val="FF0000"/>
          <w:sz w:val="20"/>
          <w:szCs w:val="20"/>
        </w:rPr>
        <w:t xml:space="preserve">sia come scelta </w:t>
      </w:r>
      <w:r>
        <w:rPr>
          <w:color w:val="000000"/>
          <w:sz w:val="20"/>
          <w:szCs w:val="20"/>
        </w:rPr>
        <w:t xml:space="preserve">dei corpo/i idrico/i rappresentativi del raggruppamento (corpo/i idrico/i capofila direttamente monitorato/i) </w:t>
      </w:r>
      <w:r>
        <w:rPr>
          <w:color w:val="FF0000"/>
          <w:sz w:val="20"/>
          <w:szCs w:val="20"/>
        </w:rPr>
        <w:t xml:space="preserve">sia come componenti </w:t>
      </w:r>
      <w:r>
        <w:rPr>
          <w:color w:val="000000"/>
          <w:sz w:val="20"/>
          <w:szCs w:val="20"/>
        </w:rPr>
        <w:t xml:space="preserve">del raggruppamento. </w:t>
      </w:r>
      <w:r>
        <w:rPr>
          <w:color w:val="FF0000"/>
          <w:sz w:val="20"/>
          <w:szCs w:val="20"/>
        </w:rPr>
        <w:t>Nel primo caso</w:t>
      </w:r>
      <w:r>
        <w:rPr>
          <w:color w:val="000000"/>
          <w:sz w:val="20"/>
          <w:szCs w:val="20"/>
        </w:rPr>
        <w:t>, lo</w:t>
      </w:r>
      <w:r>
        <w:rPr>
          <w:color w:val="000000"/>
          <w:sz w:val="20"/>
          <w:szCs w:val="20"/>
        </w:rPr>
        <w:t xml:space="preserve"> stato peculiare dei CI non può essere usato per l’estensione della classificazione in quanto non in linea con altri CI non sottoposti alla medesima pressione puntuale. Oltretutto la norma esclude il raggruppamento di CI sottoposti a questa tipologia di pr</w:t>
      </w:r>
      <w:r>
        <w:rPr>
          <w:color w:val="000000"/>
          <w:sz w:val="20"/>
          <w:szCs w:val="20"/>
        </w:rPr>
        <w:t xml:space="preserve">essione, </w:t>
      </w:r>
      <w:r>
        <w:rPr>
          <w:sz w:val="20"/>
          <w:szCs w:val="20"/>
        </w:rPr>
        <w:t>limitandosi</w:t>
      </w:r>
      <w:r>
        <w:rPr>
          <w:color w:val="000000"/>
          <w:sz w:val="20"/>
          <w:szCs w:val="20"/>
        </w:rPr>
        <w:t xml:space="preserve"> ai CI sot</w:t>
      </w:r>
      <w:r>
        <w:rPr>
          <w:sz w:val="20"/>
          <w:szCs w:val="20"/>
        </w:rPr>
        <w:t>toposti a pressioni diffuse o idromorfologiche</w:t>
      </w:r>
      <w:r>
        <w:rPr>
          <w:color w:val="000000"/>
          <w:sz w:val="20"/>
          <w:szCs w:val="20"/>
        </w:rPr>
        <w:t xml:space="preserve">. </w:t>
      </w:r>
      <w:r>
        <w:rPr>
          <w:sz w:val="20"/>
          <w:szCs w:val="20"/>
        </w:rPr>
        <w:t>(</w:t>
      </w:r>
      <w:r>
        <w:rPr>
          <w:sz w:val="20"/>
          <w:szCs w:val="20"/>
        </w:rPr>
        <w:t>nota:</w:t>
      </w:r>
      <w:r>
        <w:rPr>
          <w:sz w:val="20"/>
          <w:szCs w:val="20"/>
        </w:rPr>
        <w:t xml:space="preserve"> Individuare</w:t>
      </w:r>
      <w:r>
        <w:rPr>
          <w:b/>
          <w:sz w:val="20"/>
          <w:szCs w:val="20"/>
        </w:rPr>
        <w:t xml:space="preserve"> </w:t>
      </w:r>
      <w:r>
        <w:rPr>
          <w:sz w:val="20"/>
          <w:szCs w:val="20"/>
        </w:rPr>
        <w:t>una modalità per indicare nella LG l'esclusione)</w:t>
      </w:r>
      <w:r>
        <w:rPr>
          <w:b/>
          <w:sz w:val="20"/>
          <w:szCs w:val="20"/>
        </w:rPr>
        <w:t xml:space="preserve"> </w:t>
      </w:r>
      <w:r>
        <w:rPr>
          <w:b/>
          <w:color w:val="000000"/>
          <w:sz w:val="20"/>
          <w:szCs w:val="20"/>
        </w:rPr>
        <w:t>23/01/2024</w:t>
      </w:r>
      <w:r>
        <w:rPr>
          <w:color w:val="000000"/>
          <w:sz w:val="20"/>
          <w:szCs w:val="20"/>
        </w:rPr>
        <w:t xml:space="preserve"> </w:t>
      </w:r>
    </w:p>
    <w:p w14:paraId="00000016" w14:textId="77777777" w:rsidR="00C60BBA" w:rsidRDefault="0012197B" w:rsidP="00C7241C">
      <w:pPr>
        <w:spacing w:before="120" w:after="0" w:line="240" w:lineRule="auto"/>
        <w:rPr>
          <w:rFonts w:ascii="Times New Roman" w:eastAsia="Times New Roman" w:hAnsi="Times New Roman" w:cs="Times New Roman"/>
          <w:sz w:val="24"/>
          <w:szCs w:val="24"/>
        </w:rPr>
      </w:pPr>
      <w:r>
        <w:rPr>
          <w:b/>
          <w:color w:val="4472C4"/>
        </w:rPr>
        <w:t xml:space="preserve">17a. Classificazione raggruppati </w:t>
      </w:r>
    </w:p>
    <w:p w14:paraId="00000017" w14:textId="77777777" w:rsidR="00C60BBA" w:rsidRDefault="0012197B">
      <w:pPr>
        <w:pBdr>
          <w:top w:val="nil"/>
          <w:left w:val="nil"/>
          <w:bottom w:val="nil"/>
          <w:right w:val="nil"/>
          <w:between w:val="nil"/>
        </w:pBdr>
        <w:spacing w:after="0" w:line="240" w:lineRule="auto"/>
        <w:jc w:val="both"/>
        <w:rPr>
          <w:color w:val="000000"/>
          <w:sz w:val="20"/>
          <w:szCs w:val="20"/>
        </w:rPr>
      </w:pPr>
      <w:r>
        <w:rPr>
          <w:b/>
          <w:color w:val="000000"/>
          <w:sz w:val="20"/>
          <w:szCs w:val="20"/>
        </w:rPr>
        <w:t xml:space="preserve">Classificazione raggruppati: </w:t>
      </w:r>
      <w:r>
        <w:rPr>
          <w:color w:val="000000"/>
          <w:sz w:val="20"/>
          <w:szCs w:val="20"/>
        </w:rPr>
        <w:t>la classe di qualità risultante dai dati di monitoraggio effettuato sul/i corpo/i idrico/i rappresentativi del raggruppamento, si applica a tutti gli altri corpi idrici appartenenti allo stesso gruppo.</w:t>
      </w:r>
      <w:r>
        <w:rPr>
          <w:b/>
          <w:color w:val="000000"/>
          <w:sz w:val="20"/>
          <w:szCs w:val="20"/>
        </w:rPr>
        <w:t xml:space="preserve"> </w:t>
      </w:r>
      <w:r>
        <w:rPr>
          <w:color w:val="000000"/>
          <w:sz w:val="20"/>
          <w:szCs w:val="20"/>
        </w:rPr>
        <w:t>La classe di qualità va intesa come estensione dello s</w:t>
      </w:r>
      <w:r>
        <w:rPr>
          <w:color w:val="000000"/>
          <w:sz w:val="20"/>
          <w:szCs w:val="20"/>
        </w:rPr>
        <w:t xml:space="preserve">tato di qualità ecologico e chimico derivante rispettivamente: dalla valutazione di conformità degli SQA dei parametri (Tab 1/b D.LGS 172/2015) e dagli indici che compongono lo stato ecologico (indici </w:t>
      </w:r>
      <w:r>
        <w:rPr>
          <w:color w:val="000000"/>
          <w:sz w:val="20"/>
          <w:szCs w:val="20"/>
        </w:rPr>
        <w:lastRenderedPageBreak/>
        <w:t>biologici</w:t>
      </w:r>
      <w:r>
        <w:rPr>
          <w:sz w:val="20"/>
          <w:szCs w:val="20"/>
        </w:rPr>
        <w:t xml:space="preserve"> e </w:t>
      </w:r>
      <w:r>
        <w:rPr>
          <w:color w:val="000000"/>
          <w:sz w:val="20"/>
          <w:szCs w:val="20"/>
        </w:rPr>
        <w:t>, LIM</w:t>
      </w:r>
      <w:r>
        <w:rPr>
          <w:color w:val="000000"/>
          <w:sz w:val="12"/>
          <w:szCs w:val="12"/>
          <w:vertAlign w:val="subscript"/>
        </w:rPr>
        <w:t>eco</w:t>
      </w:r>
      <w:r>
        <w:rPr>
          <w:color w:val="000000"/>
          <w:sz w:val="20"/>
          <w:szCs w:val="20"/>
        </w:rPr>
        <w:t>) e dalla valutazione di conformità degli SQA dei parametri che determinano lo stato chimico (Tab. 1/A D.LGS 172/2015, colonna d’acqua e biota).</w:t>
      </w:r>
      <w:r>
        <w:rPr>
          <w:i/>
          <w:sz w:val="20"/>
          <w:szCs w:val="20"/>
        </w:rPr>
        <w:t xml:space="preserve"> Nota: idromorfologico escluso dall'estensione per la classificazione. Monitoraggio diretto</w:t>
      </w:r>
      <w:r>
        <w:rPr>
          <w:rFonts w:ascii="Roboto" w:eastAsia="Roboto" w:hAnsi="Roboto" w:cs="Roboto"/>
          <w:color w:val="444746"/>
          <w:sz w:val="21"/>
          <w:szCs w:val="21"/>
        </w:rPr>
        <w:t xml:space="preserve"> </w:t>
      </w:r>
      <w:r>
        <w:rPr>
          <w:b/>
          <w:color w:val="000000"/>
          <w:sz w:val="20"/>
          <w:szCs w:val="20"/>
        </w:rPr>
        <w:t>OK 23/01/2024</w:t>
      </w:r>
    </w:p>
    <w:p w14:paraId="00000018" w14:textId="77777777" w:rsidR="00C60BBA" w:rsidRDefault="0012197B">
      <w:pPr>
        <w:spacing w:before="120" w:after="0" w:line="240" w:lineRule="auto"/>
        <w:jc w:val="both"/>
        <w:rPr>
          <w:b/>
          <w:color w:val="000000"/>
          <w:sz w:val="20"/>
          <w:szCs w:val="20"/>
        </w:rPr>
      </w:pPr>
      <w:r>
        <w:rPr>
          <w:b/>
          <w:color w:val="4472C4"/>
        </w:rPr>
        <w:t>17b. C</w:t>
      </w:r>
      <w:r>
        <w:rPr>
          <w:b/>
          <w:color w:val="4472C4"/>
        </w:rPr>
        <w:t>lasse di stato semplificata</w:t>
      </w:r>
      <w:r>
        <w:rPr>
          <w:b/>
          <w:color w:val="000000"/>
          <w:sz w:val="20"/>
          <w:szCs w:val="20"/>
        </w:rPr>
        <w:t xml:space="preserve"> </w:t>
      </w:r>
    </w:p>
    <w:p w14:paraId="00000019" w14:textId="77777777" w:rsidR="00C60BBA" w:rsidRDefault="0012197B">
      <w:pPr>
        <w:spacing w:after="0" w:line="240" w:lineRule="auto"/>
        <w:jc w:val="both"/>
        <w:rPr>
          <w:rFonts w:ascii="Times New Roman" w:eastAsia="Times New Roman" w:hAnsi="Times New Roman" w:cs="Times New Roman"/>
          <w:sz w:val="24"/>
          <w:szCs w:val="24"/>
        </w:rPr>
      </w:pPr>
      <w:r>
        <w:rPr>
          <w:b/>
          <w:color w:val="000000"/>
          <w:sz w:val="20"/>
          <w:szCs w:val="20"/>
        </w:rPr>
        <w:t xml:space="preserve">Estensione classificazione: </w:t>
      </w:r>
      <w:r>
        <w:rPr>
          <w:color w:val="000000"/>
          <w:sz w:val="20"/>
          <w:szCs w:val="20"/>
        </w:rPr>
        <w:t>come definito dalla norma, ai corpi idrici appartenenti al raggruppamento viene estesa la classe di qualità dello stato ecologico nelle 5 classi - elevato, buono, sufficiente, scarso e cattivo -  o d</w:t>
      </w:r>
      <w:r>
        <w:rPr>
          <w:color w:val="000000"/>
          <w:sz w:val="20"/>
          <w:szCs w:val="20"/>
        </w:rPr>
        <w:t>el potenziale ecologico, nel caso di CI HMWB o AWB, nelle 4 classi (buono ed oltre, sufficiente, scarso e cattivo) e dello stato chimico - buono o non buono - (da valutazione conformità SQA Tab 1/a D.LGS 172/2015 Colonna d’acqua e Biota) del corpo/i idrico</w:t>
      </w:r>
      <w:r>
        <w:rPr>
          <w:color w:val="000000"/>
          <w:sz w:val="20"/>
          <w:szCs w:val="20"/>
        </w:rPr>
        <w:t>/i monitorato/i nel raggruppamento (N</w:t>
      </w:r>
      <w:r>
        <w:rPr>
          <w:sz w:val="20"/>
          <w:szCs w:val="20"/>
        </w:rPr>
        <w:t>ota: sostituisce la</w:t>
      </w:r>
      <w:r>
        <w:rPr>
          <w:color w:val="000000"/>
          <w:sz w:val="20"/>
          <w:szCs w:val="20"/>
        </w:rPr>
        <w:t xml:space="preserve"> classe di stato semplificata presente in LG). </w:t>
      </w:r>
      <w:r>
        <w:rPr>
          <w:b/>
          <w:color w:val="000000"/>
          <w:sz w:val="20"/>
          <w:szCs w:val="20"/>
        </w:rPr>
        <w:t>OK 23/01/2024</w:t>
      </w:r>
    </w:p>
    <w:p w14:paraId="0000001A" w14:textId="77777777" w:rsidR="00C60BBA" w:rsidRDefault="0012197B">
      <w:pPr>
        <w:spacing w:before="120" w:after="0" w:line="240" w:lineRule="auto"/>
        <w:jc w:val="both"/>
        <w:rPr>
          <w:b/>
          <w:color w:val="4472C4"/>
        </w:rPr>
      </w:pPr>
      <w:r>
        <w:rPr>
          <w:b/>
          <w:color w:val="4472C4"/>
        </w:rPr>
        <w:t>18. Switch Raggruppati</w:t>
      </w:r>
    </w:p>
    <w:p w14:paraId="0000001B" w14:textId="77777777" w:rsidR="00C60BBA" w:rsidRDefault="0012197B">
      <w:pPr>
        <w:spacing w:after="0" w:line="240" w:lineRule="auto"/>
        <w:jc w:val="both"/>
        <w:rPr>
          <w:color w:val="000000"/>
          <w:sz w:val="20"/>
          <w:szCs w:val="20"/>
        </w:rPr>
      </w:pPr>
      <w:r>
        <w:rPr>
          <w:color w:val="000000"/>
          <w:sz w:val="20"/>
          <w:szCs w:val="20"/>
        </w:rPr>
        <w:t xml:space="preserve">Per la verifica della validità dei raggruppamenti può essere utile ai fini del monitoraggio diretto, ove fattibile, utilizzare le seguenti opzioni. </w:t>
      </w:r>
    </w:p>
    <w:p w14:paraId="0000001C" w14:textId="0EC8B335" w:rsidR="00C60BBA" w:rsidRDefault="0012197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color w:val="FF0000"/>
          <w:sz w:val="20"/>
          <w:szCs w:val="20"/>
        </w:rPr>
        <w:t xml:space="preserve">Opzione 1: nel caso di </w:t>
      </w:r>
      <w:r>
        <w:rPr>
          <w:color w:val="FF0000"/>
          <w:sz w:val="20"/>
          <w:szCs w:val="20"/>
        </w:rPr>
        <w:t>un unico</w:t>
      </w:r>
      <w:r>
        <w:rPr>
          <w:color w:val="FF0000"/>
          <w:sz w:val="20"/>
          <w:szCs w:val="20"/>
        </w:rPr>
        <w:t xml:space="preserve"> </w:t>
      </w:r>
      <w:r>
        <w:rPr>
          <w:color w:val="FF0000"/>
          <w:sz w:val="20"/>
          <w:szCs w:val="20"/>
        </w:rPr>
        <w:t>CI</w:t>
      </w:r>
      <w:r>
        <w:rPr>
          <w:color w:val="FF0000"/>
          <w:sz w:val="20"/>
          <w:szCs w:val="20"/>
        </w:rPr>
        <w:t xml:space="preserve"> capofila monitorat</w:t>
      </w:r>
      <w:r>
        <w:rPr>
          <w:color w:val="FF0000"/>
          <w:sz w:val="20"/>
          <w:szCs w:val="20"/>
        </w:rPr>
        <w:t>o</w:t>
      </w:r>
      <w:r>
        <w:rPr>
          <w:color w:val="FF0000"/>
          <w:sz w:val="20"/>
          <w:szCs w:val="20"/>
        </w:rPr>
        <w:t xml:space="preserve"> direttamente</w:t>
      </w:r>
      <w:r>
        <w:rPr>
          <w:color w:val="000000"/>
          <w:sz w:val="20"/>
          <w:szCs w:val="20"/>
        </w:rPr>
        <w:t xml:space="preserve"> effettuare</w:t>
      </w:r>
      <w:r>
        <w:rPr>
          <w:color w:val="FF0000"/>
          <w:sz w:val="20"/>
          <w:szCs w:val="20"/>
        </w:rPr>
        <w:t>/prevedere</w:t>
      </w:r>
      <w:r>
        <w:rPr>
          <w:color w:val="FF0000"/>
          <w:sz w:val="20"/>
          <w:szCs w:val="20"/>
        </w:rPr>
        <w:t xml:space="preserve"> </w:t>
      </w:r>
      <w:r>
        <w:rPr>
          <w:color w:val="000000"/>
          <w:sz w:val="20"/>
          <w:szCs w:val="20"/>
        </w:rPr>
        <w:t>tra primo e second</w:t>
      </w:r>
      <w:r>
        <w:rPr>
          <w:color w:val="000000"/>
          <w:sz w:val="20"/>
          <w:szCs w:val="20"/>
        </w:rPr>
        <w:t xml:space="preserve">o triennio di monitoraggio, lo scambio </w:t>
      </w:r>
      <w:r>
        <w:rPr>
          <w:color w:val="FF0000"/>
          <w:sz w:val="20"/>
          <w:szCs w:val="20"/>
        </w:rPr>
        <w:t xml:space="preserve">o </w:t>
      </w:r>
      <w:r>
        <w:rPr>
          <w:color w:val="FF0000"/>
          <w:sz w:val="20"/>
          <w:szCs w:val="20"/>
        </w:rPr>
        <w:t>l'aggiunta</w:t>
      </w:r>
      <w:r>
        <w:rPr>
          <w:color w:val="FF0000"/>
          <w:sz w:val="20"/>
          <w:szCs w:val="20"/>
        </w:rPr>
        <w:t xml:space="preserve"> di un</w:t>
      </w:r>
      <w:r>
        <w:rPr>
          <w:color w:val="FF0000"/>
          <w:sz w:val="20"/>
          <w:szCs w:val="20"/>
        </w:rPr>
        <w:t xml:space="preserve"> CI </w:t>
      </w:r>
      <w:r>
        <w:rPr>
          <w:color w:val="FF0000"/>
          <w:sz w:val="20"/>
          <w:szCs w:val="20"/>
        </w:rPr>
        <w:t>da monitorare direttamente tra quell</w:t>
      </w:r>
      <w:r>
        <w:rPr>
          <w:color w:val="FF0000"/>
          <w:sz w:val="20"/>
          <w:szCs w:val="20"/>
        </w:rPr>
        <w:t>i</w:t>
      </w:r>
      <w:r>
        <w:rPr>
          <w:color w:val="FF0000"/>
          <w:sz w:val="20"/>
          <w:szCs w:val="20"/>
        </w:rPr>
        <w:t xml:space="preserve"> </w:t>
      </w:r>
      <w:r>
        <w:rPr>
          <w:color w:val="000000"/>
          <w:sz w:val="20"/>
          <w:szCs w:val="20"/>
        </w:rPr>
        <w:t xml:space="preserve">appartenenti allo stesso raggruppamento.  </w:t>
      </w:r>
      <w:r>
        <w:rPr>
          <w:color w:val="FF0000"/>
          <w:sz w:val="20"/>
          <w:szCs w:val="20"/>
        </w:rPr>
        <w:t>Il CI</w:t>
      </w:r>
      <w:r>
        <w:rPr>
          <w:color w:val="FF0000"/>
          <w:sz w:val="20"/>
          <w:szCs w:val="20"/>
        </w:rPr>
        <w:t xml:space="preserve"> </w:t>
      </w:r>
      <w:r>
        <w:rPr>
          <w:color w:val="FF0000"/>
          <w:sz w:val="20"/>
          <w:szCs w:val="20"/>
        </w:rPr>
        <w:t>che verrà usato nello scambio</w:t>
      </w:r>
      <w:r>
        <w:rPr>
          <w:color w:val="FF0000"/>
          <w:sz w:val="20"/>
          <w:szCs w:val="20"/>
        </w:rPr>
        <w:t xml:space="preserve"> o aggiunt</w:t>
      </w:r>
      <w:r>
        <w:rPr>
          <w:color w:val="FF0000"/>
          <w:sz w:val="20"/>
          <w:szCs w:val="20"/>
        </w:rPr>
        <w:t>o</w:t>
      </w:r>
      <w:r>
        <w:rPr>
          <w:color w:val="FF0000"/>
          <w:sz w:val="20"/>
          <w:szCs w:val="20"/>
        </w:rPr>
        <w:t xml:space="preserve"> è da indicare nelle rete di monitoraggio all’inizio del sessennio</w:t>
      </w:r>
      <w:r>
        <w:rPr>
          <w:color w:val="000000"/>
          <w:sz w:val="20"/>
          <w:szCs w:val="20"/>
        </w:rPr>
        <w:t xml:space="preserve">.  </w:t>
      </w:r>
      <w:r>
        <w:rPr>
          <w:color w:val="FF0000"/>
          <w:sz w:val="20"/>
          <w:szCs w:val="20"/>
        </w:rPr>
        <w:t xml:space="preserve">Se </w:t>
      </w:r>
      <w:r>
        <w:rPr>
          <w:color w:val="FF0000"/>
          <w:sz w:val="20"/>
          <w:szCs w:val="20"/>
        </w:rPr>
        <w:t>l’aggiunta del CI da monitorare direttamente avviene durante il cor</w:t>
      </w:r>
      <w:r w:rsidR="00C7241C">
        <w:rPr>
          <w:color w:val="FF0000"/>
          <w:sz w:val="20"/>
          <w:szCs w:val="20"/>
        </w:rPr>
        <w:t xml:space="preserve">so del sessennio nel reporting </w:t>
      </w:r>
      <w:r>
        <w:rPr>
          <w:color w:val="FF0000"/>
          <w:sz w:val="20"/>
          <w:szCs w:val="20"/>
        </w:rPr>
        <w:t>a fine del sessennio viene dichiarata aggiunta con inserimento dei relativi dati.</w:t>
      </w:r>
    </w:p>
    <w:p w14:paraId="0000001D" w14:textId="77777777" w:rsidR="00C60BBA" w:rsidRDefault="0012197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color w:val="FF0000"/>
          <w:sz w:val="20"/>
          <w:szCs w:val="20"/>
        </w:rPr>
        <w:t>Opzione 2: è possibile prevedere il monitoraggio diretto di più</w:t>
      </w:r>
      <w:r>
        <w:rPr>
          <w:color w:val="FF0000"/>
          <w:sz w:val="20"/>
          <w:szCs w:val="20"/>
        </w:rPr>
        <w:t xml:space="preserve"> CI </w:t>
      </w:r>
      <w:r>
        <w:rPr>
          <w:color w:val="FF0000"/>
          <w:sz w:val="20"/>
          <w:szCs w:val="20"/>
        </w:rPr>
        <w:t>in co</w:t>
      </w:r>
      <w:r>
        <w:rPr>
          <w:color w:val="FF0000"/>
          <w:sz w:val="20"/>
          <w:szCs w:val="20"/>
        </w:rPr>
        <w:t>ntemporanea appartenenti allo stesso raggruppamento per cia</w:t>
      </w:r>
      <w:r>
        <w:rPr>
          <w:color w:val="FF0000"/>
          <w:sz w:val="20"/>
          <w:szCs w:val="20"/>
        </w:rPr>
        <w:t>scun triennio</w:t>
      </w:r>
      <w:r>
        <w:rPr>
          <w:color w:val="FF0000"/>
          <w:sz w:val="20"/>
          <w:szCs w:val="20"/>
        </w:rPr>
        <w:t>/sessennio.</w:t>
      </w:r>
      <w:r>
        <w:rPr>
          <w:color w:val="000000"/>
          <w:sz w:val="20"/>
          <w:szCs w:val="20"/>
        </w:rPr>
        <w:t xml:space="preserve"> </w:t>
      </w:r>
      <w:r>
        <w:rPr>
          <w:b/>
          <w:color w:val="000000"/>
          <w:sz w:val="20"/>
          <w:szCs w:val="20"/>
        </w:rPr>
        <w:t>OK 23/01/2024</w:t>
      </w:r>
    </w:p>
    <w:p w14:paraId="0000001E" w14:textId="77777777" w:rsidR="00C60BBA" w:rsidRDefault="0012197B">
      <w:pPr>
        <w:spacing w:before="120" w:after="0" w:line="240" w:lineRule="auto"/>
        <w:jc w:val="both"/>
        <w:rPr>
          <w:b/>
          <w:color w:val="4472C4"/>
        </w:rPr>
      </w:pPr>
      <w:r>
        <w:rPr>
          <w:b/>
          <w:color w:val="4472C4"/>
        </w:rPr>
        <w:t>18.a Gestione classificazione non uniforme Switch </w:t>
      </w:r>
    </w:p>
    <w:p w14:paraId="0000001F" w14:textId="77777777" w:rsidR="00C60BBA" w:rsidRDefault="0012197B">
      <w:pPr>
        <w:spacing w:after="0" w:line="240" w:lineRule="auto"/>
        <w:jc w:val="both"/>
        <w:rPr>
          <w:rFonts w:ascii="Times New Roman" w:eastAsia="Times New Roman" w:hAnsi="Times New Roman" w:cs="Times New Roman"/>
          <w:sz w:val="24"/>
          <w:szCs w:val="24"/>
        </w:rPr>
      </w:pPr>
      <w:r>
        <w:rPr>
          <w:color w:val="000000"/>
          <w:sz w:val="20"/>
          <w:szCs w:val="20"/>
        </w:rPr>
        <w:t>Proposta: Per gestire le classificazioni non uniformi tra i CI monitorati all’interno di un raggruppamento è possibile scegliere tra una delle seguenti opzioni:</w:t>
      </w:r>
    </w:p>
    <w:p w14:paraId="00000020" w14:textId="77777777" w:rsidR="00C60BBA" w:rsidRDefault="0012197B">
      <w:pPr>
        <w:spacing w:after="0" w:line="240" w:lineRule="auto"/>
        <w:ind w:left="561" w:hanging="360"/>
        <w:jc w:val="both"/>
        <w:rPr>
          <w:rFonts w:ascii="Times New Roman" w:eastAsia="Times New Roman" w:hAnsi="Times New Roman" w:cs="Times New Roman"/>
          <w:sz w:val="24"/>
          <w:szCs w:val="24"/>
        </w:rPr>
      </w:pPr>
      <w:r>
        <w:rPr>
          <w:color w:val="000000"/>
          <w:sz w:val="20"/>
          <w:szCs w:val="20"/>
        </w:rPr>
        <w:t>a.</w:t>
      </w:r>
      <w:r>
        <w:rPr>
          <w:color w:val="000000"/>
          <w:sz w:val="14"/>
          <w:szCs w:val="14"/>
        </w:rPr>
        <w:t>       </w:t>
      </w:r>
      <w:r>
        <w:rPr>
          <w:color w:val="000000"/>
          <w:sz w:val="20"/>
          <w:szCs w:val="20"/>
        </w:rPr>
        <w:t>Estrarre il CI difforme dal raggruppamento</w:t>
      </w:r>
    </w:p>
    <w:p w14:paraId="00000021" w14:textId="77777777" w:rsidR="00C60BBA" w:rsidRDefault="0012197B">
      <w:pPr>
        <w:spacing w:after="0" w:line="240" w:lineRule="auto"/>
        <w:ind w:left="561" w:hanging="360"/>
        <w:jc w:val="both"/>
        <w:rPr>
          <w:rFonts w:ascii="Times New Roman" w:eastAsia="Times New Roman" w:hAnsi="Times New Roman" w:cs="Times New Roman"/>
          <w:sz w:val="24"/>
          <w:szCs w:val="24"/>
        </w:rPr>
      </w:pPr>
      <w:r>
        <w:rPr>
          <w:color w:val="000000"/>
          <w:sz w:val="20"/>
          <w:szCs w:val="20"/>
        </w:rPr>
        <w:t>b.</w:t>
      </w:r>
      <w:r>
        <w:rPr>
          <w:color w:val="000000"/>
          <w:sz w:val="14"/>
          <w:szCs w:val="14"/>
        </w:rPr>
        <w:t xml:space="preserve">   </w:t>
      </w:r>
      <w:r>
        <w:rPr>
          <w:color w:val="000000"/>
          <w:sz w:val="14"/>
          <w:szCs w:val="14"/>
        </w:rPr>
        <w:tab/>
      </w:r>
      <w:r>
        <w:rPr>
          <w:color w:val="000000"/>
          <w:sz w:val="20"/>
          <w:szCs w:val="20"/>
        </w:rPr>
        <w:t xml:space="preserve">Suddividere i C.I in più raggruppamenti </w:t>
      </w:r>
      <w:r>
        <w:rPr>
          <w:color w:val="FF0000"/>
          <w:sz w:val="20"/>
          <w:szCs w:val="20"/>
        </w:rPr>
        <w:t xml:space="preserve">con CI affini per pressioni etc  </w:t>
      </w:r>
    </w:p>
    <w:p w14:paraId="00000022" w14:textId="77777777" w:rsidR="00C60BBA" w:rsidRDefault="00C60BBA">
      <w:pPr>
        <w:spacing w:after="0"/>
        <w:rPr>
          <w:color w:val="000000"/>
          <w:sz w:val="20"/>
          <w:szCs w:val="20"/>
        </w:rPr>
      </w:pPr>
    </w:p>
    <w:p w14:paraId="00000023" w14:textId="77777777" w:rsidR="00C60BBA" w:rsidRDefault="0012197B">
      <w:pPr>
        <w:spacing w:after="0" w:line="240" w:lineRule="auto"/>
        <w:jc w:val="both"/>
        <w:rPr>
          <w:b/>
          <w:color w:val="000000"/>
          <w:sz w:val="20"/>
          <w:szCs w:val="20"/>
        </w:rPr>
      </w:pPr>
      <w:r>
        <w:rPr>
          <w:b/>
          <w:color w:val="000000"/>
          <w:sz w:val="20"/>
          <w:szCs w:val="20"/>
        </w:rPr>
        <w:t xml:space="preserve">Proposte approvate in parte con parti da discutere o sezioni con proposte </w:t>
      </w:r>
    </w:p>
    <w:p w14:paraId="00000024" w14:textId="77777777" w:rsidR="00C60BBA" w:rsidRDefault="0012197B">
      <w:pPr>
        <w:pBdr>
          <w:top w:val="nil"/>
          <w:left w:val="nil"/>
          <w:bottom w:val="nil"/>
          <w:right w:val="nil"/>
          <w:between w:val="nil"/>
        </w:pBdr>
        <w:spacing w:after="0" w:line="240" w:lineRule="auto"/>
        <w:jc w:val="both"/>
        <w:rPr>
          <w:color w:val="000000"/>
          <w:sz w:val="20"/>
          <w:szCs w:val="20"/>
        </w:rPr>
      </w:pPr>
      <w:r>
        <w:rPr>
          <w:b/>
          <w:sz w:val="20"/>
          <w:szCs w:val="20"/>
        </w:rPr>
        <w:t xml:space="preserve">Estensione classificazione raggruppati </w:t>
      </w:r>
      <w:r>
        <w:rPr>
          <w:sz w:val="20"/>
          <w:szCs w:val="20"/>
        </w:rPr>
        <w:t>a</w:t>
      </w:r>
      <w:r>
        <w:rPr>
          <w:color w:val="000000"/>
          <w:sz w:val="20"/>
          <w:szCs w:val="20"/>
        </w:rPr>
        <w:t xml:space="preserve">pprovato il 23/01/2024 con esclusione della’IQM e IARI. Per fauna </w:t>
      </w:r>
      <w:r>
        <w:rPr>
          <w:color w:val="000000"/>
          <w:sz w:val="20"/>
          <w:szCs w:val="20"/>
        </w:rPr>
        <w:t>ittica problema non risolto</w:t>
      </w:r>
    </w:p>
    <w:p w14:paraId="00000025" w14:textId="77777777" w:rsidR="00C60BBA" w:rsidRDefault="0012197B">
      <w:pPr>
        <w:spacing w:before="120" w:after="0" w:line="240" w:lineRule="auto"/>
        <w:jc w:val="both"/>
        <w:rPr>
          <w:color w:val="000000"/>
          <w:sz w:val="20"/>
          <w:szCs w:val="20"/>
        </w:rPr>
      </w:pPr>
      <w:r>
        <w:rPr>
          <w:b/>
          <w:color w:val="000000"/>
          <w:sz w:val="20"/>
          <w:szCs w:val="20"/>
        </w:rPr>
        <w:t>Estensione classificazione raggruppati per casi di valori &gt; SQA (Tab. 1/a ed 1/b) ed EQB (</w:t>
      </w:r>
      <w:r>
        <w:rPr>
          <w:b/>
          <w:color w:val="FF0000"/>
          <w:sz w:val="20"/>
          <w:szCs w:val="20"/>
        </w:rPr>
        <w:t>FI*</w:t>
      </w:r>
      <w:r>
        <w:rPr>
          <w:b/>
          <w:color w:val="000000"/>
          <w:sz w:val="20"/>
          <w:szCs w:val="20"/>
        </w:rPr>
        <w:t>, MB, D, MF) LIM</w:t>
      </w:r>
      <w:r>
        <w:rPr>
          <w:b/>
          <w:color w:val="000000"/>
          <w:sz w:val="12"/>
          <w:szCs w:val="12"/>
          <w:vertAlign w:val="subscript"/>
        </w:rPr>
        <w:t>eco</w:t>
      </w:r>
      <w:r>
        <w:rPr>
          <w:b/>
          <w:color w:val="000000"/>
          <w:sz w:val="20"/>
          <w:szCs w:val="20"/>
        </w:rPr>
        <w:t xml:space="preserve"> inferiore a buono</w:t>
      </w:r>
    </w:p>
    <w:p w14:paraId="00000026" w14:textId="448FAA75" w:rsidR="00C60BBA" w:rsidRDefault="0012197B">
      <w:pPr>
        <w:spacing w:before="120" w:after="0" w:line="240" w:lineRule="auto"/>
        <w:jc w:val="both"/>
        <w:rPr>
          <w:color w:val="000000"/>
          <w:sz w:val="20"/>
          <w:szCs w:val="20"/>
        </w:rPr>
      </w:pPr>
      <w:r>
        <w:rPr>
          <w:color w:val="000000"/>
          <w:sz w:val="20"/>
          <w:szCs w:val="20"/>
        </w:rPr>
        <w:t>L’estensione della classificazione è da applicare anche nei casi in cui ci siano classi di qualità inferiori al buono per EQB, LIM</w:t>
      </w:r>
      <w:r>
        <w:rPr>
          <w:color w:val="000000"/>
          <w:sz w:val="12"/>
          <w:szCs w:val="12"/>
          <w:vertAlign w:val="subscript"/>
        </w:rPr>
        <w:t>eco</w:t>
      </w:r>
      <w:r>
        <w:rPr>
          <w:color w:val="000000"/>
          <w:sz w:val="20"/>
          <w:szCs w:val="20"/>
        </w:rPr>
        <w:t>, e superamenti degli SQA di Tab. 1/b, che comportano uno stato ecologico inferiore al buono e superamenti degli SQA di Tab</w:t>
      </w:r>
      <w:r>
        <w:rPr>
          <w:color w:val="000000"/>
          <w:sz w:val="20"/>
          <w:szCs w:val="20"/>
        </w:rPr>
        <w:t>. 1/a che comportano uno stato chimico non buono. (</w:t>
      </w:r>
      <w:r>
        <w:rPr>
          <w:color w:val="FF0000"/>
          <w:sz w:val="20"/>
          <w:szCs w:val="20"/>
        </w:rPr>
        <w:t>*problema non estensione fauna ittica e confrontabilità</w:t>
      </w:r>
      <w:r w:rsidR="00C7241C">
        <w:rPr>
          <w:color w:val="FF0000"/>
          <w:sz w:val="20"/>
          <w:szCs w:val="20"/>
        </w:rPr>
        <w:t xml:space="preserve"> vedi sotto</w:t>
      </w:r>
      <w:r>
        <w:rPr>
          <w:color w:val="000000"/>
          <w:sz w:val="20"/>
          <w:szCs w:val="20"/>
        </w:rPr>
        <w:t xml:space="preserve">) </w:t>
      </w:r>
      <w:r>
        <w:rPr>
          <w:b/>
          <w:color w:val="000000"/>
          <w:sz w:val="20"/>
          <w:szCs w:val="20"/>
        </w:rPr>
        <w:t>OK 23/01/2024</w:t>
      </w:r>
    </w:p>
    <w:p w14:paraId="00000027" w14:textId="77777777" w:rsidR="00C60BBA" w:rsidRDefault="0012197B">
      <w:pPr>
        <w:spacing w:before="120" w:after="0" w:line="240" w:lineRule="auto"/>
        <w:jc w:val="both"/>
        <w:rPr>
          <w:color w:val="FF0000"/>
          <w:sz w:val="20"/>
          <w:szCs w:val="20"/>
        </w:rPr>
      </w:pPr>
      <w:r>
        <w:rPr>
          <w:b/>
          <w:color w:val="FF0000"/>
          <w:sz w:val="20"/>
          <w:szCs w:val="20"/>
        </w:rPr>
        <w:t>IQM, IAR</w:t>
      </w:r>
      <w:r>
        <w:rPr>
          <w:b/>
          <w:color w:val="FF0000"/>
          <w:sz w:val="20"/>
          <w:szCs w:val="20"/>
        </w:rPr>
        <w:t xml:space="preserve">I </w:t>
      </w:r>
      <w:r>
        <w:rPr>
          <w:i/>
          <w:sz w:val="20"/>
          <w:szCs w:val="20"/>
        </w:rPr>
        <w:t>frase da sottoporre per approvazione</w:t>
      </w:r>
    </w:p>
    <w:p w14:paraId="00000028" w14:textId="77777777" w:rsidR="00C60BBA" w:rsidRDefault="0012197B">
      <w:pPr>
        <w:spacing w:after="0" w:line="240" w:lineRule="auto"/>
        <w:jc w:val="both"/>
        <w:rPr>
          <w:sz w:val="20"/>
          <w:szCs w:val="20"/>
        </w:rPr>
      </w:pPr>
      <w:r>
        <w:rPr>
          <w:color w:val="FF0000"/>
          <w:sz w:val="20"/>
          <w:szCs w:val="20"/>
        </w:rPr>
        <w:t>specifica su IQM e IARI non estesi e monitorati sul singolo CI (o tratto mo</w:t>
      </w:r>
      <w:r>
        <w:rPr>
          <w:color w:val="FF0000"/>
          <w:sz w:val="20"/>
          <w:szCs w:val="20"/>
        </w:rPr>
        <w:t xml:space="preserve">rfologicamente omogeneo interno al CI </w:t>
      </w:r>
      <w:r>
        <w:rPr>
          <w:color w:val="FF0000"/>
          <w:sz w:val="20"/>
          <w:szCs w:val="20"/>
        </w:rPr>
        <w:t>per IQM)</w:t>
      </w:r>
    </w:p>
    <w:p w14:paraId="00000029" w14:textId="77777777" w:rsidR="00C60BBA" w:rsidRDefault="0012197B">
      <w:pPr>
        <w:tabs>
          <w:tab w:val="left" w:pos="561"/>
        </w:tabs>
        <w:spacing w:after="0" w:line="240" w:lineRule="auto"/>
        <w:jc w:val="both"/>
        <w:rPr>
          <w:color w:val="FF0000"/>
          <w:sz w:val="20"/>
          <w:szCs w:val="20"/>
        </w:rPr>
      </w:pPr>
      <w:r>
        <w:rPr>
          <w:color w:val="FF0000"/>
          <w:sz w:val="20"/>
          <w:szCs w:val="20"/>
        </w:rPr>
        <w:t xml:space="preserve">Per l'indice IARI dovrà essere prevista una rete dedicata, che permetta il monitoraggio diretto dei CI da classificare e per l’IQM un monitoraggio dei tratti morfologicamente omogenei interni ai CI, in quanto </w:t>
      </w:r>
      <w:r>
        <w:rPr>
          <w:color w:val="FF0000"/>
          <w:sz w:val="20"/>
          <w:szCs w:val="20"/>
        </w:rPr>
        <w:t xml:space="preserve">non è indicato estendere la classificazione </w:t>
      </w:r>
      <w:r>
        <w:rPr>
          <w:color w:val="FF0000"/>
          <w:sz w:val="20"/>
          <w:szCs w:val="20"/>
          <w:u w:val="single"/>
        </w:rPr>
        <w:t xml:space="preserve">per questi due Elementi di qualità mediante raggruppamento essendo ritenuti sito specifici </w:t>
      </w:r>
      <w:r>
        <w:rPr>
          <w:color w:val="FF0000"/>
          <w:sz w:val="20"/>
          <w:szCs w:val="20"/>
        </w:rPr>
        <w:t xml:space="preserve"> </w:t>
      </w:r>
    </w:p>
    <w:p w14:paraId="0000002A" w14:textId="77777777" w:rsidR="00C60BBA" w:rsidRDefault="00C60BBA">
      <w:pPr>
        <w:spacing w:after="0"/>
        <w:rPr>
          <w:b/>
          <w:sz w:val="20"/>
          <w:szCs w:val="20"/>
          <w:highlight w:val="yellow"/>
        </w:rPr>
      </w:pPr>
    </w:p>
    <w:p w14:paraId="58432277" w14:textId="77777777" w:rsidR="00C7241C" w:rsidRDefault="00C7241C" w:rsidP="00C7241C">
      <w:pPr>
        <w:spacing w:after="0"/>
        <w:rPr>
          <w:color w:val="FF0000"/>
          <w:sz w:val="20"/>
          <w:szCs w:val="20"/>
        </w:rPr>
      </w:pPr>
      <w:r>
        <w:rPr>
          <w:color w:val="FF0000"/>
          <w:sz w:val="20"/>
          <w:szCs w:val="20"/>
        </w:rPr>
        <w:t xml:space="preserve">*problema non estensione fauna ittica e confrontabilità </w:t>
      </w:r>
    </w:p>
    <w:p w14:paraId="0000002B" w14:textId="228E1908" w:rsidR="00C60BBA" w:rsidRDefault="0012197B">
      <w:pPr>
        <w:rPr>
          <w:b/>
          <w:sz w:val="20"/>
          <w:szCs w:val="20"/>
        </w:rPr>
      </w:pPr>
      <w:r>
        <w:rPr>
          <w:b/>
          <w:sz w:val="20"/>
          <w:szCs w:val="20"/>
        </w:rPr>
        <w:t>Per r</w:t>
      </w:r>
      <w:r>
        <w:rPr>
          <w:b/>
          <w:color w:val="000000"/>
          <w:sz w:val="20"/>
          <w:szCs w:val="20"/>
        </w:rPr>
        <w:t xml:space="preserve">isolvere il problema Fauna ittica non esteso </w:t>
      </w:r>
      <w:r>
        <w:rPr>
          <w:sz w:val="20"/>
          <w:szCs w:val="20"/>
        </w:rPr>
        <w:t>Approfondi</w:t>
      </w:r>
      <w:r>
        <w:rPr>
          <w:sz w:val="20"/>
          <w:szCs w:val="20"/>
        </w:rPr>
        <w:t>re il tema durante la discussione futura prevista per l</w:t>
      </w:r>
      <w:r>
        <w:rPr>
          <w:sz w:val="20"/>
          <w:szCs w:val="20"/>
        </w:rPr>
        <w:t>’utilizzo della EQB fauna ittica ai fini della classificazione.</w:t>
      </w:r>
    </w:p>
    <w:p w14:paraId="0000002C" w14:textId="77777777" w:rsidR="00C60BBA" w:rsidRDefault="0012197B">
      <w:pPr>
        <w:spacing w:before="120" w:after="0" w:line="240" w:lineRule="auto"/>
        <w:jc w:val="both"/>
        <w:rPr>
          <w:sz w:val="20"/>
          <w:szCs w:val="20"/>
        </w:rPr>
      </w:pPr>
      <w:r>
        <w:rPr>
          <w:b/>
          <w:sz w:val="20"/>
          <w:szCs w:val="20"/>
        </w:rPr>
        <w:t>19b. Compilazione WISE raggruppati per casi di valori &gt; SQA (Tab. 1/a e Tab. 1/b) ed EQB (</w:t>
      </w:r>
      <w:r>
        <w:rPr>
          <w:b/>
          <w:color w:val="FF0000"/>
          <w:sz w:val="20"/>
          <w:szCs w:val="20"/>
        </w:rPr>
        <w:t>FI*</w:t>
      </w:r>
      <w:r>
        <w:rPr>
          <w:b/>
          <w:sz w:val="20"/>
          <w:szCs w:val="20"/>
        </w:rPr>
        <w:t>, MB, D, MF), LIMeco, inferiore a buono:</w:t>
      </w:r>
    </w:p>
    <w:p w14:paraId="0000002D" w14:textId="77777777" w:rsidR="00C60BBA" w:rsidRDefault="0012197B">
      <w:pPr>
        <w:spacing w:before="120" w:after="0" w:line="240" w:lineRule="auto"/>
        <w:jc w:val="both"/>
        <w:rPr>
          <w:color w:val="000000"/>
          <w:sz w:val="20"/>
          <w:szCs w:val="20"/>
        </w:rPr>
      </w:pPr>
      <w:r>
        <w:rPr>
          <w:color w:val="000000"/>
          <w:sz w:val="20"/>
          <w:szCs w:val="20"/>
        </w:rPr>
        <w:lastRenderedPageBreak/>
        <w:t>per</w:t>
      </w:r>
      <w:r>
        <w:rPr>
          <w:color w:val="000000"/>
          <w:sz w:val="20"/>
          <w:szCs w:val="20"/>
        </w:rPr>
        <w:t xml:space="preserve"> i corpi idrici raggruppati la compilazione del WISE, in termini di raggruppamenti e dati utilizzati per definire lo stato di ciascun QE, deve essere congruente con il raggruppamento di partenza</w:t>
      </w:r>
      <w:r>
        <w:rPr>
          <w:color w:val="000000"/>
          <w:sz w:val="20"/>
          <w:szCs w:val="20"/>
          <w:vertAlign w:val="superscript"/>
        </w:rPr>
        <w:footnoteReference w:id="1"/>
      </w:r>
      <w:r>
        <w:rPr>
          <w:color w:val="000000"/>
          <w:sz w:val="20"/>
          <w:szCs w:val="20"/>
        </w:rPr>
        <w:t xml:space="preserve"> definito con i criteri di raggruppamento e utilizzato per i </w:t>
      </w:r>
      <w:r>
        <w:rPr>
          <w:color w:val="000000"/>
          <w:sz w:val="20"/>
          <w:szCs w:val="20"/>
        </w:rPr>
        <w:t>monitoraggi così come riportato nel piano di gestione.</w:t>
      </w:r>
    </w:p>
    <w:p w14:paraId="636E5A80" w14:textId="77777777" w:rsidR="00C7241C" w:rsidRDefault="0012197B">
      <w:pPr>
        <w:spacing w:after="0" w:line="240" w:lineRule="auto"/>
        <w:jc w:val="both"/>
        <w:rPr>
          <w:color w:val="000000"/>
          <w:sz w:val="20"/>
          <w:szCs w:val="20"/>
        </w:rPr>
      </w:pPr>
      <w:r>
        <w:rPr>
          <w:i/>
          <w:sz w:val="20"/>
          <w:szCs w:val="20"/>
        </w:rPr>
        <w:t xml:space="preserve">nota: </w:t>
      </w:r>
      <w:r>
        <w:rPr>
          <w:i/>
          <w:color w:val="000000"/>
          <w:sz w:val="20"/>
          <w:szCs w:val="20"/>
        </w:rPr>
        <w:t>Il sistema di compilazione permette di associare CI diversi da quelli rappresentativi del raggruppamento per ciascun QE, ma è necessario decidere se tale modalità sia in linea con l’obiettivo definito dalla norma e permetta una confrontabilità dei risultat</w:t>
      </w:r>
      <w:r>
        <w:rPr>
          <w:i/>
          <w:color w:val="000000"/>
          <w:sz w:val="20"/>
          <w:szCs w:val="20"/>
        </w:rPr>
        <w:t>i a livello nazionale</w:t>
      </w:r>
      <w:r>
        <w:rPr>
          <w:color w:val="000000"/>
          <w:sz w:val="20"/>
          <w:szCs w:val="20"/>
        </w:rPr>
        <w:t>. </w:t>
      </w:r>
    </w:p>
    <w:p w14:paraId="0000002E" w14:textId="1B92DBAF" w:rsidR="00C60BBA" w:rsidRDefault="0012197B">
      <w:pPr>
        <w:spacing w:after="0" w:line="240" w:lineRule="auto"/>
        <w:jc w:val="both"/>
        <w:rPr>
          <w:color w:val="FF0000"/>
          <w:sz w:val="20"/>
          <w:szCs w:val="20"/>
        </w:rPr>
      </w:pPr>
      <w:r>
        <w:rPr>
          <w:color w:val="FF0000"/>
          <w:sz w:val="20"/>
          <w:szCs w:val="20"/>
        </w:rPr>
        <w:t xml:space="preserve">Nella compilazione dei singoli QE dovrebbe essere rispettata l’associazione, chimica a supporto ed EQB, in altre parole il LIMeco fiumi o il </w:t>
      </w:r>
      <w:sdt>
        <w:sdtPr>
          <w:tag w:val="goog_rdk_0"/>
          <w:id w:val="1401864133"/>
        </w:sdtPr>
        <w:sdtEndPr/>
        <w:sdtContent/>
      </w:sdt>
      <w:sdt>
        <w:sdtPr>
          <w:tag w:val="goog_rdk_1"/>
          <w:id w:val="1513945071"/>
        </w:sdtPr>
        <w:sdtEndPr/>
        <w:sdtContent/>
      </w:sdt>
      <w:sdt>
        <w:sdtPr>
          <w:tag w:val="goog_rdk_2"/>
          <w:id w:val="-261621119"/>
        </w:sdtPr>
        <w:sdtEndPr/>
        <w:sdtContent/>
      </w:sdt>
      <w:sdt>
        <w:sdtPr>
          <w:tag w:val="goog_rdk_3"/>
          <w:id w:val="-1660535530"/>
        </w:sdtPr>
        <w:sdtEndPr/>
        <w:sdtContent/>
      </w:sdt>
      <w:r>
        <w:rPr>
          <w:color w:val="FF0000"/>
          <w:sz w:val="20"/>
          <w:szCs w:val="20"/>
        </w:rPr>
        <w:t xml:space="preserve">LTLeco - </w:t>
      </w:r>
      <w:r>
        <w:rPr>
          <w:color w:val="FF0000"/>
          <w:sz w:val="20"/>
          <w:szCs w:val="20"/>
        </w:rPr>
        <w:t>invasi</w:t>
      </w:r>
      <w:r>
        <w:rPr>
          <w:color w:val="FF0000"/>
          <w:sz w:val="20"/>
          <w:szCs w:val="20"/>
        </w:rPr>
        <w:t xml:space="preserve"> ed EQB utilizzati nella compilazione dei QE di un determinato CI del raggruppamento devono essere ricavati dallo stesso CI direttamente monitorato facente parte del medesimo raggruppamento. </w:t>
      </w:r>
    </w:p>
    <w:p w14:paraId="6C0293BA" w14:textId="77777777" w:rsidR="00C7241C" w:rsidRDefault="00C7241C">
      <w:pPr>
        <w:spacing w:before="120" w:after="0" w:line="240" w:lineRule="auto"/>
        <w:jc w:val="both"/>
        <w:rPr>
          <w:b/>
          <w:color w:val="FF0000"/>
          <w:sz w:val="20"/>
          <w:szCs w:val="20"/>
        </w:rPr>
      </w:pPr>
    </w:p>
    <w:p w14:paraId="0000002F" w14:textId="77777777" w:rsidR="00C60BBA" w:rsidRDefault="0012197B">
      <w:pPr>
        <w:spacing w:before="120" w:after="0" w:line="240" w:lineRule="auto"/>
        <w:jc w:val="both"/>
        <w:rPr>
          <w:color w:val="FF0000"/>
          <w:sz w:val="20"/>
          <w:szCs w:val="20"/>
        </w:rPr>
      </w:pPr>
      <w:r>
        <w:rPr>
          <w:b/>
          <w:color w:val="FF0000"/>
          <w:sz w:val="20"/>
          <w:szCs w:val="20"/>
        </w:rPr>
        <w:t xml:space="preserve"> </w:t>
      </w:r>
      <w:r>
        <w:rPr>
          <w:i/>
          <w:sz w:val="20"/>
          <w:szCs w:val="20"/>
        </w:rPr>
        <w:t>frase da sottoporre per approvazione</w:t>
      </w:r>
    </w:p>
    <w:p w14:paraId="00000030" w14:textId="77777777" w:rsidR="00C60BBA" w:rsidRDefault="0012197B">
      <w:pPr>
        <w:spacing w:before="120" w:after="0" w:line="240" w:lineRule="auto"/>
        <w:jc w:val="both"/>
      </w:pPr>
      <w:sdt>
        <w:sdtPr>
          <w:tag w:val="goog_rdk_4"/>
          <w:id w:val="-106808449"/>
        </w:sdtPr>
        <w:sdtEndPr/>
        <w:sdtContent/>
      </w:sdt>
      <w:sdt>
        <w:sdtPr>
          <w:tag w:val="goog_rdk_5"/>
          <w:id w:val="-921256669"/>
        </w:sdtPr>
        <w:sdtEndPr/>
        <w:sdtContent/>
      </w:sdt>
      <w:r>
        <w:rPr>
          <w:color w:val="FF0000"/>
          <w:sz w:val="20"/>
          <w:szCs w:val="20"/>
        </w:rPr>
        <w:t xml:space="preserve">Per gli </w:t>
      </w:r>
      <w:r>
        <w:rPr>
          <w:b/>
          <w:color w:val="FF0000"/>
          <w:sz w:val="20"/>
          <w:szCs w:val="20"/>
        </w:rPr>
        <w:t>indici IQM e I</w:t>
      </w:r>
      <w:r>
        <w:rPr>
          <w:b/>
          <w:color w:val="FF0000"/>
          <w:sz w:val="20"/>
          <w:szCs w:val="20"/>
        </w:rPr>
        <w:t>ARI</w:t>
      </w:r>
      <w:r>
        <w:rPr>
          <w:color w:val="FF0000"/>
          <w:sz w:val="20"/>
          <w:szCs w:val="20"/>
        </w:rPr>
        <w:t xml:space="preserve"> </w:t>
      </w:r>
      <w:r>
        <w:rPr>
          <w:color w:val="FF0000"/>
          <w:sz w:val="20"/>
          <w:szCs w:val="20"/>
          <w:u w:val="single"/>
        </w:rPr>
        <w:t>non è indicato estendere la classificazione per questi due Elementi di qualità mediante raggruppamento</w:t>
      </w:r>
      <w:r>
        <w:rPr>
          <w:color w:val="FF0000"/>
          <w:sz w:val="20"/>
          <w:szCs w:val="20"/>
        </w:rPr>
        <w:t xml:space="preserve"> pe</w:t>
      </w:r>
      <w:r>
        <w:rPr>
          <w:color w:val="FF0000"/>
          <w:sz w:val="20"/>
          <w:szCs w:val="20"/>
        </w:rPr>
        <w:t xml:space="preserve">rtanto la compilazione del WiSE dovrà avvenire con i dati provenienti da monitoraggio diretto dei Ci </w:t>
      </w:r>
      <w:r>
        <w:rPr>
          <w:color w:val="FF0000"/>
          <w:sz w:val="20"/>
          <w:szCs w:val="20"/>
        </w:rPr>
        <w:t>(</w:t>
      </w:r>
      <w:r>
        <w:rPr>
          <w:i/>
          <w:color w:val="FF0000"/>
          <w:sz w:val="20"/>
          <w:szCs w:val="20"/>
        </w:rPr>
        <w:t>valido se</w:t>
      </w:r>
      <w:r>
        <w:rPr>
          <w:i/>
          <w:color w:val="FF0000"/>
          <w:sz w:val="20"/>
          <w:szCs w:val="20"/>
          <w:u w:val="single"/>
        </w:rPr>
        <w:t xml:space="preserve"> </w:t>
      </w:r>
      <w:r>
        <w:rPr>
          <w:i/>
          <w:color w:val="FF0000"/>
          <w:sz w:val="20"/>
          <w:szCs w:val="20"/>
        </w:rPr>
        <w:t>è stata prevista il monitoraggio diretto dei tratti mo</w:t>
      </w:r>
      <w:r>
        <w:rPr>
          <w:i/>
          <w:color w:val="FF0000"/>
          <w:sz w:val="20"/>
          <w:szCs w:val="20"/>
        </w:rPr>
        <w:t xml:space="preserve">rfologicamente omogenei e dei </w:t>
      </w:r>
      <w:r>
        <w:rPr>
          <w:i/>
          <w:color w:val="FF0000"/>
          <w:sz w:val="20"/>
          <w:szCs w:val="20"/>
        </w:rPr>
        <w:t>CI da classificare rispettivamente con IQM e IARI)</w:t>
      </w:r>
      <w:r>
        <w:rPr>
          <w:color w:val="FF0000"/>
          <w:sz w:val="20"/>
          <w:szCs w:val="20"/>
        </w:rPr>
        <w:t xml:space="preserve"> </w:t>
      </w:r>
    </w:p>
    <w:p w14:paraId="00000031" w14:textId="77777777" w:rsidR="00C60BBA" w:rsidRDefault="00C60BBA">
      <w:pPr>
        <w:rPr>
          <w:b/>
        </w:rPr>
      </w:pPr>
    </w:p>
    <w:p w14:paraId="00000032" w14:textId="77777777" w:rsidR="00C60BBA" w:rsidRDefault="0012197B">
      <w:pPr>
        <w:rPr>
          <w:b/>
        </w:rPr>
      </w:pPr>
      <w:r>
        <w:rPr>
          <w:b/>
        </w:rPr>
        <w:t xml:space="preserve">Tabella 2 </w:t>
      </w:r>
    </w:p>
    <w:p w14:paraId="00000033" w14:textId="77777777" w:rsidR="00C60BBA" w:rsidRDefault="0012197B">
      <w:pPr>
        <w:rPr>
          <w:b/>
        </w:rPr>
      </w:pPr>
      <w:r>
        <w:rPr>
          <w:b/>
        </w:rPr>
        <w:t xml:space="preserve">Interregionali </w:t>
      </w:r>
    </w:p>
    <w:p w14:paraId="00000034" w14:textId="77777777" w:rsidR="00C60BBA" w:rsidRDefault="0012197B">
      <w:pPr>
        <w:pBdr>
          <w:top w:val="nil"/>
          <w:left w:val="nil"/>
          <w:bottom w:val="nil"/>
          <w:right w:val="nil"/>
          <w:between w:val="nil"/>
        </w:pBdr>
        <w:spacing w:after="0" w:line="240" w:lineRule="auto"/>
        <w:jc w:val="both"/>
        <w:rPr>
          <w:color w:val="000000"/>
          <w:sz w:val="20"/>
          <w:szCs w:val="20"/>
        </w:rPr>
      </w:pPr>
      <w:r>
        <w:rPr>
          <w:color w:val="000000"/>
          <w:sz w:val="20"/>
          <w:szCs w:val="20"/>
        </w:rPr>
        <w:t>Proposte 1 e 3. Per</w:t>
      </w:r>
      <w:r>
        <w:rPr>
          <w:sz w:val="20"/>
          <w:szCs w:val="20"/>
        </w:rPr>
        <w:t xml:space="preserve"> i CI </w:t>
      </w:r>
      <w:r>
        <w:rPr>
          <w:color w:val="000000"/>
          <w:sz w:val="20"/>
          <w:szCs w:val="20"/>
        </w:rPr>
        <w:t>interregionali in Monitoraggio di Sorveglianza, operativo o R</w:t>
      </w:r>
      <w:r>
        <w:rPr>
          <w:color w:val="000000"/>
          <w:sz w:val="20"/>
          <w:szCs w:val="20"/>
        </w:rPr>
        <w:t xml:space="preserve">ete Nucleo: Stesso anno (stesso ciclo), stesse frequenze (stesso periodo e stesse profondità campioni – solo laghi), coerenza parametri monitorati, collocazione stazione in funzione della rappresentatività rispetto al corpo idrico per ciascuna regione. </w:t>
      </w:r>
    </w:p>
    <w:p w14:paraId="00000035" w14:textId="77777777" w:rsidR="00C60BBA" w:rsidRDefault="0012197B">
      <w:pPr>
        <w:pBdr>
          <w:top w:val="nil"/>
          <w:left w:val="nil"/>
          <w:bottom w:val="nil"/>
          <w:right w:val="nil"/>
          <w:between w:val="nil"/>
        </w:pBdr>
        <w:spacing w:after="0" w:line="240" w:lineRule="auto"/>
        <w:jc w:val="both"/>
        <w:rPr>
          <w:color w:val="000000"/>
          <w:sz w:val="20"/>
          <w:szCs w:val="20"/>
        </w:rPr>
      </w:pPr>
      <w:r>
        <w:rPr>
          <w:color w:val="000000"/>
          <w:sz w:val="20"/>
          <w:szCs w:val="20"/>
        </w:rPr>
        <w:t>Qu</w:t>
      </w:r>
      <w:r>
        <w:rPr>
          <w:color w:val="000000"/>
          <w:sz w:val="20"/>
          <w:szCs w:val="20"/>
        </w:rPr>
        <w:t xml:space="preserve">anto sopra se il CI scorre sul confine, oppure se “perpendicolare” (monte e valle di regioni contigue) ed entrambe manifestano l’opportunità di un monitoraggio; </w:t>
      </w:r>
    </w:p>
    <w:p w14:paraId="00000036" w14:textId="77777777" w:rsidR="00C60BBA" w:rsidRDefault="0012197B">
      <w:pPr>
        <w:pBdr>
          <w:top w:val="nil"/>
          <w:left w:val="nil"/>
          <w:bottom w:val="nil"/>
          <w:right w:val="nil"/>
          <w:between w:val="nil"/>
        </w:pBdr>
        <w:spacing w:after="0" w:line="240" w:lineRule="auto"/>
        <w:jc w:val="both"/>
        <w:rPr>
          <w:color w:val="000000"/>
          <w:sz w:val="20"/>
          <w:szCs w:val="20"/>
        </w:rPr>
      </w:pPr>
      <w:r>
        <w:rPr>
          <w:color w:val="000000"/>
          <w:sz w:val="20"/>
          <w:szCs w:val="20"/>
        </w:rPr>
        <w:t xml:space="preserve">in caso contrario accordo su chi dei 2 effettua il monitoraggio e la successiva reportistica, </w:t>
      </w:r>
      <w:r>
        <w:rPr>
          <w:color w:val="000000"/>
          <w:sz w:val="20"/>
          <w:szCs w:val="20"/>
        </w:rPr>
        <w:t>tenendo conto dell’estensione, delle pressioni agenti, etc.</w:t>
      </w:r>
    </w:p>
    <w:p w14:paraId="00000037" w14:textId="77777777" w:rsidR="00C60BBA" w:rsidRDefault="00C60BBA">
      <w:pPr>
        <w:pBdr>
          <w:top w:val="nil"/>
          <w:left w:val="nil"/>
          <w:bottom w:val="nil"/>
          <w:right w:val="nil"/>
          <w:between w:val="nil"/>
        </w:pBdr>
        <w:spacing w:after="0" w:line="240" w:lineRule="auto"/>
        <w:jc w:val="both"/>
        <w:rPr>
          <w:color w:val="000000"/>
          <w:sz w:val="20"/>
          <w:szCs w:val="20"/>
        </w:rPr>
      </w:pPr>
    </w:p>
    <w:p w14:paraId="4139A5E7" w14:textId="77777777" w:rsidR="00C7241C" w:rsidRDefault="0012197B">
      <w:pPr>
        <w:pBdr>
          <w:top w:val="nil"/>
          <w:left w:val="nil"/>
          <w:bottom w:val="nil"/>
          <w:right w:val="nil"/>
          <w:between w:val="nil"/>
        </w:pBdr>
        <w:spacing w:after="0" w:line="240" w:lineRule="auto"/>
        <w:jc w:val="both"/>
        <w:rPr>
          <w:color w:val="000000"/>
          <w:sz w:val="20"/>
          <w:szCs w:val="20"/>
        </w:rPr>
      </w:pPr>
      <w:r>
        <w:rPr>
          <w:b/>
          <w:color w:val="000000"/>
          <w:sz w:val="20"/>
          <w:szCs w:val="20"/>
        </w:rPr>
        <w:t>Accettato in riunione 23/01/2024</w:t>
      </w:r>
      <w:r>
        <w:rPr>
          <w:color w:val="000000"/>
          <w:sz w:val="20"/>
          <w:szCs w:val="20"/>
        </w:rPr>
        <w:t xml:space="preserve"> </w:t>
      </w:r>
    </w:p>
    <w:p w14:paraId="00000038" w14:textId="7861803F" w:rsidR="00C60BBA" w:rsidRPr="00C7241C" w:rsidRDefault="00C7241C">
      <w:pPr>
        <w:pBdr>
          <w:top w:val="nil"/>
          <w:left w:val="nil"/>
          <w:bottom w:val="nil"/>
          <w:right w:val="nil"/>
          <w:between w:val="nil"/>
        </w:pBdr>
        <w:spacing w:after="0" w:line="240" w:lineRule="auto"/>
        <w:jc w:val="both"/>
        <w:rPr>
          <w:sz w:val="20"/>
          <w:szCs w:val="20"/>
        </w:rPr>
      </w:pPr>
      <w:r>
        <w:rPr>
          <w:sz w:val="20"/>
          <w:szCs w:val="20"/>
        </w:rPr>
        <w:t>P</w:t>
      </w:r>
      <w:r w:rsidR="0012197B" w:rsidRPr="00C7241C">
        <w:rPr>
          <w:sz w:val="20"/>
          <w:szCs w:val="20"/>
        </w:rPr>
        <w:t xml:space="preserve">unti 1 e 3.  </w:t>
      </w:r>
      <w:r w:rsidR="0012197B" w:rsidRPr="00C7241C">
        <w:rPr>
          <w:sz w:val="20"/>
          <w:szCs w:val="20"/>
        </w:rPr>
        <w:t>Si prevede di inserire in LG una sezione</w:t>
      </w:r>
      <w:r w:rsidR="0012197B" w:rsidRPr="00C7241C">
        <w:rPr>
          <w:sz w:val="20"/>
          <w:szCs w:val="20"/>
        </w:rPr>
        <w:t xml:space="preserve"> </w:t>
      </w:r>
      <w:r w:rsidR="0012197B" w:rsidRPr="00C7241C">
        <w:rPr>
          <w:sz w:val="20"/>
          <w:szCs w:val="20"/>
        </w:rPr>
        <w:t>per i CI</w:t>
      </w:r>
      <w:r w:rsidR="0012197B" w:rsidRPr="00C7241C">
        <w:rPr>
          <w:sz w:val="20"/>
          <w:szCs w:val="20"/>
        </w:rPr>
        <w:t xml:space="preserve"> interregionali (F</w:t>
      </w:r>
      <w:r w:rsidR="0012197B" w:rsidRPr="00C7241C">
        <w:rPr>
          <w:sz w:val="20"/>
          <w:szCs w:val="20"/>
        </w:rPr>
        <w:t>luviali e Lacustri)</w:t>
      </w:r>
      <w:r w:rsidR="0012197B" w:rsidRPr="00C7241C">
        <w:rPr>
          <w:sz w:val="20"/>
          <w:szCs w:val="20"/>
        </w:rPr>
        <w:t xml:space="preserve"> con indicazioni generali per </w:t>
      </w:r>
      <w:r w:rsidR="0012197B" w:rsidRPr="00C7241C">
        <w:rPr>
          <w:sz w:val="20"/>
          <w:szCs w:val="20"/>
        </w:rPr>
        <w:t xml:space="preserve">la redazione di </w:t>
      </w:r>
      <w:r w:rsidR="0012197B" w:rsidRPr="00C7241C">
        <w:rPr>
          <w:sz w:val="20"/>
          <w:szCs w:val="20"/>
        </w:rPr>
        <w:t>accordi di mon</w:t>
      </w:r>
      <w:r w:rsidR="0012197B" w:rsidRPr="00C7241C">
        <w:rPr>
          <w:sz w:val="20"/>
          <w:szCs w:val="20"/>
        </w:rPr>
        <w:t xml:space="preserve">itoraggio congiunto o assegnato ad una delle parti. </w:t>
      </w:r>
      <w:r w:rsidR="0012197B" w:rsidRPr="00C7241C">
        <w:rPr>
          <w:sz w:val="20"/>
          <w:szCs w:val="20"/>
        </w:rPr>
        <w:t xml:space="preserve"> </w:t>
      </w:r>
      <w:r w:rsidR="0012197B" w:rsidRPr="00C7241C">
        <w:rPr>
          <w:sz w:val="20"/>
          <w:szCs w:val="20"/>
        </w:rPr>
        <w:t>Di</w:t>
      </w:r>
      <w:r w:rsidR="0012197B" w:rsidRPr="00C7241C">
        <w:rPr>
          <w:sz w:val="20"/>
          <w:szCs w:val="20"/>
        </w:rPr>
        <w:t xml:space="preserve"> base questi </w:t>
      </w:r>
      <w:r w:rsidR="0012197B" w:rsidRPr="00C7241C">
        <w:rPr>
          <w:sz w:val="20"/>
          <w:szCs w:val="20"/>
        </w:rPr>
        <w:t>accordi</w:t>
      </w:r>
      <w:r w:rsidR="0012197B" w:rsidRPr="00C7241C">
        <w:rPr>
          <w:sz w:val="20"/>
          <w:szCs w:val="20"/>
        </w:rPr>
        <w:t xml:space="preserve"> dovrebbero conte</w:t>
      </w:r>
      <w:r w:rsidR="0012197B" w:rsidRPr="00C7241C">
        <w:rPr>
          <w:sz w:val="20"/>
          <w:szCs w:val="20"/>
        </w:rPr>
        <w:t>nere questi</w:t>
      </w:r>
      <w:r w:rsidR="0012197B" w:rsidRPr="00C7241C">
        <w:rPr>
          <w:sz w:val="20"/>
          <w:szCs w:val="20"/>
        </w:rPr>
        <w:t xml:space="preserve"> punti </w:t>
      </w:r>
      <w:r w:rsidR="0012197B" w:rsidRPr="00C7241C">
        <w:rPr>
          <w:sz w:val="20"/>
          <w:szCs w:val="20"/>
        </w:rPr>
        <w:t>fondamentali</w:t>
      </w:r>
      <w:r w:rsidR="0012197B" w:rsidRPr="00C7241C">
        <w:rPr>
          <w:sz w:val="20"/>
          <w:szCs w:val="20"/>
        </w:rPr>
        <w:t>:</w:t>
      </w:r>
    </w:p>
    <w:p w14:paraId="00000039" w14:textId="182C4D93" w:rsidR="00C60BBA" w:rsidRPr="00C7241C" w:rsidRDefault="0012197B" w:rsidP="00C7241C">
      <w:pPr>
        <w:pStyle w:val="Paragrafoelenco"/>
        <w:numPr>
          <w:ilvl w:val="0"/>
          <w:numId w:val="3"/>
        </w:numPr>
        <w:pBdr>
          <w:top w:val="nil"/>
          <w:left w:val="nil"/>
          <w:bottom w:val="nil"/>
          <w:right w:val="nil"/>
          <w:between w:val="nil"/>
        </w:pBdr>
        <w:spacing w:after="0" w:line="240" w:lineRule="auto"/>
        <w:jc w:val="both"/>
        <w:rPr>
          <w:sz w:val="20"/>
          <w:szCs w:val="20"/>
        </w:rPr>
      </w:pPr>
      <w:r w:rsidRPr="00C7241C">
        <w:rPr>
          <w:sz w:val="20"/>
          <w:szCs w:val="20"/>
        </w:rPr>
        <w:t xml:space="preserve">Nel caso di monitoraggio congiunto: </w:t>
      </w:r>
    </w:p>
    <w:p w14:paraId="0000003A" w14:textId="77777777" w:rsidR="00C60BBA" w:rsidRPr="00C7241C" w:rsidRDefault="0012197B">
      <w:pPr>
        <w:numPr>
          <w:ilvl w:val="0"/>
          <w:numId w:val="1"/>
        </w:numPr>
        <w:pBdr>
          <w:top w:val="nil"/>
          <w:left w:val="nil"/>
          <w:bottom w:val="nil"/>
          <w:right w:val="nil"/>
          <w:between w:val="nil"/>
        </w:pBdr>
        <w:spacing w:after="0" w:line="240" w:lineRule="auto"/>
        <w:jc w:val="both"/>
        <w:rPr>
          <w:sz w:val="20"/>
          <w:szCs w:val="20"/>
        </w:rPr>
      </w:pPr>
      <w:r w:rsidRPr="00C7241C">
        <w:rPr>
          <w:sz w:val="20"/>
          <w:szCs w:val="20"/>
        </w:rPr>
        <w:t>A</w:t>
      </w:r>
      <w:r w:rsidRPr="00C7241C">
        <w:rPr>
          <w:sz w:val="20"/>
          <w:szCs w:val="20"/>
        </w:rPr>
        <w:t>nno di Monitoraggio</w:t>
      </w:r>
      <w:r w:rsidRPr="00C7241C">
        <w:rPr>
          <w:sz w:val="20"/>
          <w:szCs w:val="20"/>
        </w:rPr>
        <w:t xml:space="preserve"> Stesso anno (stesso ciclo), </w:t>
      </w:r>
    </w:p>
    <w:p w14:paraId="0000003B" w14:textId="77777777" w:rsidR="00C60BBA" w:rsidRPr="00C7241C" w:rsidRDefault="0012197B">
      <w:pPr>
        <w:numPr>
          <w:ilvl w:val="0"/>
          <w:numId w:val="1"/>
        </w:numPr>
        <w:pBdr>
          <w:top w:val="nil"/>
          <w:left w:val="nil"/>
          <w:bottom w:val="nil"/>
          <w:right w:val="nil"/>
          <w:between w:val="nil"/>
        </w:pBdr>
        <w:spacing w:after="0" w:line="240" w:lineRule="auto"/>
        <w:jc w:val="both"/>
        <w:rPr>
          <w:sz w:val="20"/>
          <w:szCs w:val="20"/>
        </w:rPr>
      </w:pPr>
      <w:r w:rsidRPr="00C7241C">
        <w:rPr>
          <w:sz w:val="20"/>
          <w:szCs w:val="20"/>
        </w:rPr>
        <w:t xml:space="preserve">Frequenza: </w:t>
      </w:r>
      <w:r w:rsidRPr="00C7241C">
        <w:rPr>
          <w:sz w:val="20"/>
          <w:szCs w:val="20"/>
        </w:rPr>
        <w:t xml:space="preserve">stesse frequenze (stesso periodo e stesse profondità campioni – solo laghi), </w:t>
      </w:r>
    </w:p>
    <w:p w14:paraId="0000003C" w14:textId="77777777" w:rsidR="00C60BBA" w:rsidRPr="00C7241C" w:rsidRDefault="0012197B">
      <w:pPr>
        <w:numPr>
          <w:ilvl w:val="0"/>
          <w:numId w:val="1"/>
        </w:numPr>
        <w:pBdr>
          <w:top w:val="nil"/>
          <w:left w:val="nil"/>
          <w:bottom w:val="nil"/>
          <w:right w:val="nil"/>
          <w:between w:val="nil"/>
        </w:pBdr>
        <w:spacing w:after="0" w:line="240" w:lineRule="auto"/>
        <w:jc w:val="both"/>
        <w:rPr>
          <w:sz w:val="20"/>
          <w:szCs w:val="20"/>
        </w:rPr>
      </w:pPr>
      <w:r w:rsidRPr="00C7241C">
        <w:rPr>
          <w:sz w:val="20"/>
          <w:szCs w:val="20"/>
        </w:rPr>
        <w:t xml:space="preserve">Parametri Monitorati: </w:t>
      </w:r>
      <w:r w:rsidRPr="00C7241C">
        <w:rPr>
          <w:sz w:val="20"/>
          <w:szCs w:val="20"/>
        </w:rPr>
        <w:t xml:space="preserve">coerenza parametri monitorati, </w:t>
      </w:r>
    </w:p>
    <w:p w14:paraId="0000003D" w14:textId="77777777" w:rsidR="00C60BBA" w:rsidRPr="00C7241C" w:rsidRDefault="0012197B">
      <w:pPr>
        <w:numPr>
          <w:ilvl w:val="0"/>
          <w:numId w:val="1"/>
        </w:numPr>
        <w:pBdr>
          <w:top w:val="nil"/>
          <w:left w:val="nil"/>
          <w:bottom w:val="nil"/>
          <w:right w:val="nil"/>
          <w:between w:val="nil"/>
        </w:pBdr>
        <w:spacing w:after="0" w:line="240" w:lineRule="auto"/>
        <w:jc w:val="both"/>
        <w:rPr>
          <w:sz w:val="20"/>
          <w:szCs w:val="20"/>
        </w:rPr>
      </w:pPr>
      <w:r w:rsidRPr="00C7241C">
        <w:rPr>
          <w:sz w:val="20"/>
          <w:szCs w:val="20"/>
        </w:rPr>
        <w:t xml:space="preserve">Stazioni di monitoraggio: </w:t>
      </w:r>
      <w:r w:rsidRPr="00C7241C">
        <w:rPr>
          <w:sz w:val="20"/>
          <w:szCs w:val="20"/>
        </w:rPr>
        <w:t>collocazione stazione in funzione della rappresentatività rispetto al corpo idrico per ciascuna re</w:t>
      </w:r>
      <w:r w:rsidRPr="00C7241C">
        <w:rPr>
          <w:sz w:val="20"/>
          <w:szCs w:val="20"/>
        </w:rPr>
        <w:t xml:space="preserve">gione. </w:t>
      </w:r>
    </w:p>
    <w:p w14:paraId="0000003E" w14:textId="6E6175ED" w:rsidR="00C60BBA" w:rsidRPr="00C7241C" w:rsidRDefault="0012197B" w:rsidP="00C7241C">
      <w:pPr>
        <w:pStyle w:val="Paragrafoelenco"/>
        <w:numPr>
          <w:ilvl w:val="0"/>
          <w:numId w:val="3"/>
        </w:numPr>
        <w:pBdr>
          <w:top w:val="nil"/>
          <w:left w:val="nil"/>
          <w:bottom w:val="nil"/>
          <w:right w:val="nil"/>
          <w:between w:val="nil"/>
        </w:pBdr>
        <w:spacing w:after="0" w:line="240" w:lineRule="auto"/>
        <w:jc w:val="both"/>
        <w:rPr>
          <w:sz w:val="20"/>
          <w:szCs w:val="20"/>
        </w:rPr>
      </w:pPr>
      <w:r w:rsidRPr="00C7241C">
        <w:rPr>
          <w:sz w:val="20"/>
          <w:szCs w:val="20"/>
        </w:rPr>
        <w:t>Nel caso di monitoraggio effettuato da una sola delle Regioni:</w:t>
      </w:r>
      <w:r w:rsidRPr="00C7241C">
        <w:rPr>
          <w:sz w:val="20"/>
          <w:szCs w:val="20"/>
        </w:rPr>
        <w:t xml:space="preserve"> accordo su chi effettua il monitoraggio</w:t>
      </w:r>
      <w:r w:rsidR="00C7241C" w:rsidRPr="00C7241C">
        <w:rPr>
          <w:sz w:val="20"/>
          <w:szCs w:val="20"/>
        </w:rPr>
        <w:t>.</w:t>
      </w:r>
    </w:p>
    <w:p w14:paraId="2479AEA0" w14:textId="77777777" w:rsidR="00C7241C" w:rsidRDefault="00C7241C">
      <w:pPr>
        <w:spacing w:after="0"/>
        <w:rPr>
          <w:sz w:val="20"/>
          <w:szCs w:val="20"/>
        </w:rPr>
      </w:pPr>
    </w:p>
    <w:p w14:paraId="0000003F" w14:textId="5CAC8CD5" w:rsidR="00C60BBA" w:rsidRDefault="0012197B">
      <w:pPr>
        <w:spacing w:after="0"/>
        <w:rPr>
          <w:sz w:val="20"/>
          <w:szCs w:val="20"/>
        </w:rPr>
      </w:pPr>
      <w:r>
        <w:rPr>
          <w:sz w:val="20"/>
          <w:szCs w:val="20"/>
        </w:rPr>
        <w:t>E’ rimasto indietro il punto 2 paragrafo</w:t>
      </w:r>
      <w:r w:rsidR="00C7241C">
        <w:rPr>
          <w:sz w:val="20"/>
          <w:szCs w:val="20"/>
        </w:rPr>
        <w:t>:</w:t>
      </w:r>
      <w:r>
        <w:rPr>
          <w:sz w:val="20"/>
          <w:szCs w:val="20"/>
        </w:rPr>
        <w:t xml:space="preserve"> </w:t>
      </w:r>
      <w:r w:rsidR="00C7241C">
        <w:rPr>
          <w:sz w:val="20"/>
          <w:szCs w:val="20"/>
        </w:rPr>
        <w:t>V</w:t>
      </w:r>
      <w:r>
        <w:rPr>
          <w:sz w:val="20"/>
          <w:szCs w:val="20"/>
        </w:rPr>
        <w:t>alutazione potenziale ecologico per classificazione</w:t>
      </w:r>
      <w:r w:rsidR="00C7241C">
        <w:rPr>
          <w:sz w:val="20"/>
          <w:szCs w:val="20"/>
        </w:rPr>
        <w:t>.</w:t>
      </w:r>
    </w:p>
    <w:p w14:paraId="00000040" w14:textId="77777777" w:rsidR="00C60BBA" w:rsidRDefault="0012197B">
      <w:pPr>
        <w:spacing w:before="120" w:after="0" w:line="240" w:lineRule="auto"/>
        <w:rPr>
          <w:b/>
          <w:sz w:val="24"/>
          <w:szCs w:val="24"/>
        </w:rPr>
      </w:pPr>
      <w:r>
        <w:rPr>
          <w:b/>
          <w:sz w:val="24"/>
          <w:szCs w:val="24"/>
        </w:rPr>
        <w:t>Prossimo incontro 15/02/2024 ore 9.30-12.30/13</w:t>
      </w:r>
    </w:p>
    <w:p w14:paraId="00000041" w14:textId="77777777" w:rsidR="00C60BBA" w:rsidRDefault="0012197B">
      <w:pPr>
        <w:spacing w:before="240" w:after="0" w:line="240" w:lineRule="auto"/>
        <w:rPr>
          <w:b/>
          <w:sz w:val="20"/>
          <w:szCs w:val="20"/>
        </w:rPr>
      </w:pPr>
      <w:r>
        <w:rPr>
          <w:b/>
          <w:color w:val="000000"/>
          <w:sz w:val="20"/>
          <w:szCs w:val="20"/>
        </w:rPr>
        <w:t>ALTR</w:t>
      </w:r>
      <w:r>
        <w:rPr>
          <w:b/>
          <w:color w:val="000000"/>
          <w:sz w:val="20"/>
          <w:szCs w:val="20"/>
        </w:rPr>
        <w:t xml:space="preserve">I PUNTI DA SVILUPPARE O </w:t>
      </w:r>
      <w:r>
        <w:rPr>
          <w:b/>
          <w:sz w:val="20"/>
          <w:szCs w:val="20"/>
        </w:rPr>
        <w:t>DISCUTERE </w:t>
      </w:r>
    </w:p>
    <w:p w14:paraId="00000042" w14:textId="77777777" w:rsidR="00C60BBA" w:rsidRDefault="0012197B">
      <w:pPr>
        <w:spacing w:before="240" w:after="0" w:line="240" w:lineRule="auto"/>
        <w:rPr>
          <w:rFonts w:ascii="Times New Roman" w:eastAsia="Times New Roman" w:hAnsi="Times New Roman" w:cs="Times New Roman"/>
          <w:sz w:val="24"/>
          <w:szCs w:val="24"/>
        </w:rPr>
      </w:pPr>
      <w:r>
        <w:rPr>
          <w:b/>
          <w:color w:val="000000"/>
          <w:sz w:val="20"/>
          <w:szCs w:val="20"/>
        </w:rPr>
        <w:t>Tabella 2 (pag 16 - Processo sviluppo SUB_Tematica C2 Classificazione 2023 I Parte)</w:t>
      </w:r>
    </w:p>
    <w:p w14:paraId="00000043" w14:textId="77777777" w:rsidR="00C60BBA" w:rsidRDefault="0012197B">
      <w:pPr>
        <w:numPr>
          <w:ilvl w:val="0"/>
          <w:numId w:val="4"/>
        </w:numPr>
        <w:spacing w:before="120" w:after="0" w:line="240" w:lineRule="auto"/>
        <w:ind w:left="714" w:hanging="357"/>
        <w:jc w:val="both"/>
        <w:rPr>
          <w:color w:val="000000"/>
          <w:sz w:val="20"/>
          <w:szCs w:val="20"/>
        </w:rPr>
      </w:pPr>
      <w:r>
        <w:rPr>
          <w:color w:val="000000"/>
          <w:sz w:val="20"/>
          <w:szCs w:val="20"/>
        </w:rPr>
        <w:t>STATO ECOLOGICO - Osservazione 4 EU PILOT/20</w:t>
      </w:r>
    </w:p>
    <w:p w14:paraId="00000044" w14:textId="77777777" w:rsidR="00C60BBA" w:rsidRDefault="0012197B">
      <w:pPr>
        <w:numPr>
          <w:ilvl w:val="0"/>
          <w:numId w:val="4"/>
        </w:numPr>
        <w:spacing w:after="0" w:line="240" w:lineRule="auto"/>
        <w:jc w:val="both"/>
        <w:rPr>
          <w:color w:val="000000"/>
          <w:sz w:val="20"/>
          <w:szCs w:val="20"/>
        </w:rPr>
      </w:pPr>
      <w:r>
        <w:rPr>
          <w:color w:val="000000"/>
          <w:sz w:val="20"/>
          <w:szCs w:val="20"/>
        </w:rPr>
        <w:t>Rete di monitoraggio - Tabella 1/A Osservazione 5 EU PILOT/20 e Tabella 1/B Osservazione 4 EU PILOT/20 – scelta sostanze e frequenze</w:t>
      </w:r>
    </w:p>
    <w:p w14:paraId="00000045" w14:textId="77777777" w:rsidR="00C60BBA" w:rsidRDefault="0012197B">
      <w:pPr>
        <w:numPr>
          <w:ilvl w:val="0"/>
          <w:numId w:val="4"/>
        </w:numPr>
        <w:spacing w:after="0" w:line="240" w:lineRule="auto"/>
        <w:jc w:val="both"/>
        <w:rPr>
          <w:color w:val="000000"/>
          <w:sz w:val="20"/>
          <w:szCs w:val="20"/>
        </w:rPr>
      </w:pPr>
      <w:r>
        <w:rPr>
          <w:color w:val="000000"/>
          <w:sz w:val="20"/>
          <w:szCs w:val="20"/>
        </w:rPr>
        <w:t>Monitoraggio di sorveglianza</w:t>
      </w:r>
    </w:p>
    <w:p w14:paraId="00000046" w14:textId="77777777" w:rsidR="00C60BBA" w:rsidRDefault="0012197B">
      <w:pPr>
        <w:numPr>
          <w:ilvl w:val="0"/>
          <w:numId w:val="4"/>
        </w:numPr>
        <w:spacing w:after="0" w:line="240" w:lineRule="auto"/>
        <w:jc w:val="both"/>
        <w:rPr>
          <w:color w:val="000000"/>
          <w:sz w:val="20"/>
          <w:szCs w:val="20"/>
        </w:rPr>
      </w:pPr>
      <w:r>
        <w:rPr>
          <w:strike/>
          <w:color w:val="000000"/>
          <w:sz w:val="20"/>
          <w:szCs w:val="20"/>
        </w:rPr>
        <w:t>Interregionali e</w:t>
      </w:r>
      <w:r>
        <w:rPr>
          <w:color w:val="000000"/>
          <w:sz w:val="20"/>
          <w:szCs w:val="20"/>
        </w:rPr>
        <w:t xml:space="preserve"> valutazione potenziale ecologico per classificazione</w:t>
      </w:r>
    </w:p>
    <w:p w14:paraId="00000048" w14:textId="4756B02B" w:rsidR="00C60BBA" w:rsidRDefault="0012197B" w:rsidP="00C7241C">
      <w:pPr>
        <w:numPr>
          <w:ilvl w:val="0"/>
          <w:numId w:val="4"/>
        </w:numPr>
        <w:spacing w:after="0" w:line="240" w:lineRule="auto"/>
        <w:jc w:val="both"/>
      </w:pPr>
      <w:r w:rsidRPr="00C7241C">
        <w:rPr>
          <w:color w:val="000000"/>
          <w:sz w:val="20"/>
          <w:szCs w:val="20"/>
        </w:rPr>
        <w:t>Classificazione</w:t>
      </w:r>
      <w:bookmarkStart w:id="1" w:name="_GoBack"/>
      <w:bookmarkEnd w:id="1"/>
    </w:p>
    <w:sectPr w:rsidR="00C60BBA" w:rsidSect="00C7241C">
      <w:footerReference w:type="default" r:id="rId8"/>
      <w:pgSz w:w="11906" w:h="16838"/>
      <w:pgMar w:top="851"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548FE" w14:textId="77777777" w:rsidR="00000000" w:rsidRDefault="0012197B">
      <w:pPr>
        <w:spacing w:after="0" w:line="240" w:lineRule="auto"/>
      </w:pPr>
      <w:r>
        <w:separator/>
      </w:r>
    </w:p>
  </w:endnote>
  <w:endnote w:type="continuationSeparator" w:id="0">
    <w:p w14:paraId="5EE48225" w14:textId="77777777" w:rsidR="00000000" w:rsidRDefault="0012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C60BBA" w:rsidRDefault="0012197B">
    <w:pPr>
      <w:jc w:val="right"/>
    </w:pPr>
    <w:r>
      <w:fldChar w:fldCharType="begin"/>
    </w:r>
    <w:r>
      <w:instrText>PAGE</w:instrText>
    </w:r>
    <w:r w:rsidR="00C7241C">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16D48" w14:textId="77777777" w:rsidR="00000000" w:rsidRDefault="0012197B">
      <w:pPr>
        <w:spacing w:after="0" w:line="240" w:lineRule="auto"/>
      </w:pPr>
      <w:r>
        <w:separator/>
      </w:r>
    </w:p>
  </w:footnote>
  <w:footnote w:type="continuationSeparator" w:id="0">
    <w:p w14:paraId="261A6B41" w14:textId="77777777" w:rsidR="00000000" w:rsidRDefault="0012197B">
      <w:pPr>
        <w:spacing w:after="0" w:line="240" w:lineRule="auto"/>
      </w:pPr>
      <w:r>
        <w:continuationSeparator/>
      </w:r>
    </w:p>
  </w:footnote>
  <w:footnote w:id="1">
    <w:p w14:paraId="00000049" w14:textId="77777777" w:rsidR="00C60BBA" w:rsidRDefault="0012197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color w:val="000000"/>
          <w:sz w:val="18"/>
          <w:szCs w:val="18"/>
        </w:rPr>
        <w:t>D.M 260/2010 Allegato 1.</w:t>
      </w:r>
      <w:r>
        <w:rPr>
          <w:color w:val="000000"/>
          <w:sz w:val="20"/>
          <w:szCs w:val="20"/>
        </w:rPr>
        <w:t xml:space="preserve"> </w:t>
      </w:r>
      <w:r>
        <w:rPr>
          <w:color w:val="000000"/>
          <w:sz w:val="18"/>
          <w:szCs w:val="18"/>
        </w:rPr>
        <w:t xml:space="preserve">A 3.3.5. “… In ogni caso, è necessario che il raggruppamento risulti tecnicamente e scientificamente giustificabile e le motivazioni dello stesso siano riportate nel piano di gestione e nel piano di tutela delle acque assieme al protocollo di monitoraggio </w:t>
      </w:r>
      <w:r>
        <w:rPr>
          <w:color w:val="000000"/>
          <w:sz w:val="18"/>
          <w:szCs w:val="18"/>
        </w:rPr>
        <w:t>ed è comunque escluso nel caso di pressioni puntuali significative...”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905"/>
    <w:multiLevelType w:val="multilevel"/>
    <w:tmpl w:val="5E3E0B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DB62CC3"/>
    <w:multiLevelType w:val="multilevel"/>
    <w:tmpl w:val="DE90B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241B5A"/>
    <w:multiLevelType w:val="multilevel"/>
    <w:tmpl w:val="1D5A7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0A36FC"/>
    <w:multiLevelType w:val="multilevel"/>
    <w:tmpl w:val="3D7E8AC2"/>
    <w:lvl w:ilvl="0">
      <w:start w:val="18"/>
      <w:numFmt w:val="bullet"/>
      <w:lvlText w:val="-"/>
      <w:lvlJc w:val="left"/>
      <w:pPr>
        <w:ind w:left="720" w:hanging="360"/>
      </w:pPr>
      <w:rPr>
        <w:rFonts w:ascii="Calibri" w:eastAsia="Calibri" w:hAnsi="Calibri" w:cs="Calibri"/>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BA"/>
    <w:rsid w:val="0012197B"/>
    <w:rsid w:val="00C60BBA"/>
    <w:rsid w:val="00C72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BD56C-BC19-48E9-8240-A1473533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900"/>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Default">
    <w:name w:val="Default"/>
    <w:rsid w:val="00705900"/>
    <w:pPr>
      <w:autoSpaceDE w:val="0"/>
      <w:autoSpaceDN w:val="0"/>
      <w:adjustRightInd w:val="0"/>
      <w:spacing w:after="0" w:line="240" w:lineRule="auto"/>
    </w:pPr>
    <w:rPr>
      <w:rFonts w:eastAsia="Times"/>
      <w:color w:val="000000"/>
      <w:sz w:val="24"/>
      <w:szCs w:val="24"/>
    </w:rPr>
  </w:style>
  <w:style w:type="paragraph" w:styleId="Paragrafoelenco">
    <w:name w:val="List Paragraph"/>
    <w:basedOn w:val="Normale"/>
    <w:uiPriority w:val="34"/>
    <w:qFormat/>
    <w:rsid w:val="00705900"/>
    <w:pPr>
      <w:ind w:left="720"/>
      <w:contextualSpacing/>
    </w:pPr>
  </w:style>
  <w:style w:type="paragraph" w:styleId="Testonotaapidipagina">
    <w:name w:val="footnote text"/>
    <w:basedOn w:val="Normale"/>
    <w:link w:val="TestonotaapidipaginaCarattere"/>
    <w:uiPriority w:val="99"/>
    <w:semiHidden/>
    <w:unhideWhenUsed/>
    <w:rsid w:val="003A69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697E"/>
    <w:rPr>
      <w:sz w:val="20"/>
      <w:szCs w:val="20"/>
    </w:rPr>
  </w:style>
  <w:style w:type="character" w:styleId="Rimandonotaapidipagina">
    <w:name w:val="footnote reference"/>
    <w:basedOn w:val="Carpredefinitoparagrafo"/>
    <w:uiPriority w:val="99"/>
    <w:semiHidden/>
    <w:unhideWhenUsed/>
    <w:rsid w:val="003A697E"/>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724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wb68thS3IkA0RoDyrC4iJtq4ig==">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2719</Words>
  <Characters>15502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Agostini</dc:creator>
  <cp:lastModifiedBy>Alessandra Agostini</cp:lastModifiedBy>
  <cp:revision>2</cp:revision>
  <dcterms:created xsi:type="dcterms:W3CDTF">2024-02-15T11:34:00Z</dcterms:created>
  <dcterms:modified xsi:type="dcterms:W3CDTF">2024-02-15T11:34:00Z</dcterms:modified>
</cp:coreProperties>
</file>