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93"/>
      </w:tblGrid>
      <w:tr w:rsidR="004E6F7A" w14:paraId="36964F75" w14:textId="77777777" w:rsidTr="004E6F7A">
        <w:tc>
          <w:tcPr>
            <w:tcW w:w="2835" w:type="dxa"/>
            <w:vAlign w:val="center"/>
          </w:tcPr>
          <w:p w14:paraId="6ABF62F0" w14:textId="77777777" w:rsidR="004E6F7A" w:rsidRDefault="004E6F7A" w:rsidP="004E6F7A">
            <w:pPr>
              <w:rPr>
                <w:b/>
                <w:sz w:val="28"/>
                <w:szCs w:val="28"/>
              </w:rPr>
            </w:pPr>
            <w:bookmarkStart w:id="0" w:name="_GoBack"/>
            <w:bookmarkEnd w:id="0"/>
            <w:r>
              <w:rPr>
                <w:b/>
                <w:noProof/>
                <w:sz w:val="28"/>
                <w:szCs w:val="28"/>
                <w:lang w:eastAsia="it-IT"/>
              </w:rPr>
              <w:drawing>
                <wp:inline distT="0" distB="0" distL="0" distR="0" wp14:anchorId="55B86810" wp14:editId="1E7D03E8">
                  <wp:extent cx="1268095" cy="835025"/>
                  <wp:effectExtent l="0" t="0" r="8255"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835025"/>
                          </a:xfrm>
                          <a:prstGeom prst="rect">
                            <a:avLst/>
                          </a:prstGeom>
                          <a:noFill/>
                        </pic:spPr>
                      </pic:pic>
                    </a:graphicData>
                  </a:graphic>
                </wp:inline>
              </w:drawing>
            </w:r>
          </w:p>
        </w:tc>
        <w:tc>
          <w:tcPr>
            <w:tcW w:w="6793" w:type="dxa"/>
            <w:vAlign w:val="center"/>
          </w:tcPr>
          <w:p w14:paraId="4B4377FD" w14:textId="77777777" w:rsidR="004E6F7A" w:rsidRPr="004E6F7A" w:rsidRDefault="004E6F7A" w:rsidP="004E6F7A">
            <w:pPr>
              <w:jc w:val="center"/>
              <w:rPr>
                <w:b/>
                <w:color w:val="0070C0"/>
                <w:sz w:val="28"/>
                <w:szCs w:val="28"/>
              </w:rPr>
            </w:pPr>
            <w:r w:rsidRPr="004E6F7A">
              <w:rPr>
                <w:b/>
                <w:color w:val="0070C0"/>
                <w:sz w:val="28"/>
                <w:szCs w:val="28"/>
              </w:rPr>
              <w:t>Linea di attività RR-TEM 09-01</w:t>
            </w:r>
          </w:p>
          <w:p w14:paraId="765F06D7" w14:textId="77777777" w:rsidR="004E6F7A" w:rsidRDefault="004E6F7A" w:rsidP="004E6F7A">
            <w:pPr>
              <w:jc w:val="center"/>
              <w:rPr>
                <w:b/>
                <w:sz w:val="28"/>
                <w:szCs w:val="28"/>
              </w:rPr>
            </w:pPr>
            <w:r w:rsidRPr="004E6F7A">
              <w:rPr>
                <w:b/>
                <w:color w:val="0070C0"/>
                <w:sz w:val="28"/>
                <w:szCs w:val="28"/>
              </w:rPr>
              <w:t>Applicazione Direttiva Acque</w:t>
            </w:r>
          </w:p>
        </w:tc>
      </w:tr>
      <w:tr w:rsidR="004E6F7A" w14:paraId="5CC93914" w14:textId="77777777" w:rsidTr="004E6F7A">
        <w:tc>
          <w:tcPr>
            <w:tcW w:w="2835" w:type="dxa"/>
            <w:vAlign w:val="center"/>
          </w:tcPr>
          <w:p w14:paraId="3F72FDF7" w14:textId="77777777" w:rsidR="004E6F7A" w:rsidRPr="003F271E" w:rsidRDefault="006A2C7F" w:rsidP="004E6F7A">
            <w:pPr>
              <w:jc w:val="center"/>
              <w:rPr>
                <w:i/>
              </w:rPr>
            </w:pPr>
            <w:r>
              <w:rPr>
                <w:i/>
              </w:rPr>
              <w:t>24/1/2023</w:t>
            </w:r>
          </w:p>
        </w:tc>
        <w:tc>
          <w:tcPr>
            <w:tcW w:w="6793" w:type="dxa"/>
            <w:vAlign w:val="center"/>
          </w:tcPr>
          <w:p w14:paraId="3985CAFE" w14:textId="77777777" w:rsidR="004E6F7A" w:rsidRPr="004E6F7A" w:rsidRDefault="004E6F7A" w:rsidP="004E6F7A">
            <w:pPr>
              <w:jc w:val="center"/>
              <w:rPr>
                <w:b/>
                <w:i/>
                <w:sz w:val="28"/>
                <w:szCs w:val="28"/>
              </w:rPr>
            </w:pPr>
            <w:r w:rsidRPr="002273CC">
              <w:rPr>
                <w:b/>
                <w:i/>
                <w:sz w:val="28"/>
                <w:szCs w:val="28"/>
              </w:rPr>
              <w:t>Sub-tematica C3</w:t>
            </w:r>
          </w:p>
        </w:tc>
      </w:tr>
    </w:tbl>
    <w:p w14:paraId="2E9FA70F" w14:textId="77777777" w:rsidR="004E6F7A" w:rsidRPr="003F271E" w:rsidRDefault="004E6F7A" w:rsidP="0087128C">
      <w:pPr>
        <w:jc w:val="center"/>
        <w:rPr>
          <w:b/>
        </w:rPr>
      </w:pPr>
    </w:p>
    <w:p w14:paraId="3DD8A86A" w14:textId="0E0B7D43" w:rsidR="0087128C" w:rsidRDefault="0087128C" w:rsidP="003F271E">
      <w:pPr>
        <w:spacing w:after="0"/>
        <w:rPr>
          <w:b/>
          <w:i/>
          <w:sz w:val="28"/>
          <w:szCs w:val="28"/>
        </w:rPr>
      </w:pPr>
      <w:r w:rsidRPr="002273CC">
        <w:rPr>
          <w:b/>
          <w:i/>
          <w:sz w:val="28"/>
          <w:szCs w:val="28"/>
        </w:rPr>
        <w:t xml:space="preserve">Chiarimenti sulla procedura di classificazione dei </w:t>
      </w:r>
      <w:r w:rsidR="00057919">
        <w:rPr>
          <w:b/>
          <w:i/>
          <w:sz w:val="28"/>
          <w:szCs w:val="28"/>
        </w:rPr>
        <w:t>corpi idrici fortemente modificati (</w:t>
      </w:r>
      <w:r w:rsidRPr="002273CC">
        <w:rPr>
          <w:b/>
          <w:i/>
          <w:sz w:val="28"/>
          <w:szCs w:val="28"/>
        </w:rPr>
        <w:t>CIFM</w:t>
      </w:r>
      <w:r w:rsidR="00057919">
        <w:rPr>
          <w:b/>
          <w:i/>
          <w:sz w:val="28"/>
          <w:szCs w:val="28"/>
        </w:rPr>
        <w:t>)</w:t>
      </w:r>
      <w:r w:rsidRPr="002273CC">
        <w:rPr>
          <w:b/>
          <w:i/>
          <w:sz w:val="28"/>
          <w:szCs w:val="28"/>
        </w:rPr>
        <w:t xml:space="preserve"> e </w:t>
      </w:r>
      <w:r w:rsidR="00057919">
        <w:rPr>
          <w:b/>
          <w:i/>
          <w:sz w:val="28"/>
          <w:szCs w:val="28"/>
        </w:rPr>
        <w:t>sui corpi idrici artificiali (</w:t>
      </w:r>
      <w:r w:rsidRPr="002273CC">
        <w:rPr>
          <w:b/>
          <w:i/>
          <w:sz w:val="28"/>
          <w:szCs w:val="28"/>
        </w:rPr>
        <w:t>CIA</w:t>
      </w:r>
      <w:r w:rsidR="00057919">
        <w:rPr>
          <w:b/>
          <w:i/>
          <w:sz w:val="28"/>
          <w:szCs w:val="28"/>
        </w:rPr>
        <w:t>).</w:t>
      </w:r>
    </w:p>
    <w:p w14:paraId="049BA08D" w14:textId="77777777" w:rsidR="000C711B" w:rsidRPr="0058670F" w:rsidRDefault="000C711B" w:rsidP="003F271E">
      <w:pPr>
        <w:spacing w:after="0"/>
        <w:rPr>
          <w:b/>
          <w:i/>
          <w:sz w:val="24"/>
          <w:szCs w:val="24"/>
        </w:rPr>
      </w:pPr>
    </w:p>
    <w:p w14:paraId="616AFBD1" w14:textId="18ABEAD2" w:rsidR="000C711B" w:rsidRPr="0058670F" w:rsidRDefault="0058670F" w:rsidP="003F271E">
      <w:pPr>
        <w:spacing w:after="0"/>
        <w:rPr>
          <w:b/>
          <w:i/>
          <w:color w:val="FF0000"/>
          <w:sz w:val="24"/>
          <w:szCs w:val="24"/>
        </w:rPr>
      </w:pPr>
      <w:r w:rsidRPr="0058670F">
        <w:rPr>
          <w:b/>
          <w:i/>
          <w:color w:val="FF0000"/>
          <w:sz w:val="24"/>
          <w:szCs w:val="24"/>
        </w:rPr>
        <w:t>(</w:t>
      </w:r>
      <w:r w:rsidR="000C711B" w:rsidRPr="0058670F">
        <w:rPr>
          <w:b/>
          <w:i/>
          <w:color w:val="FF0000"/>
          <w:sz w:val="24"/>
          <w:szCs w:val="24"/>
        </w:rPr>
        <w:t>N</w:t>
      </w:r>
      <w:r w:rsidRPr="0058670F">
        <w:rPr>
          <w:b/>
          <w:i/>
          <w:color w:val="FF0000"/>
          <w:sz w:val="24"/>
          <w:szCs w:val="24"/>
        </w:rPr>
        <w:t>ella seconda parte i temi che potrete commentare)</w:t>
      </w:r>
    </w:p>
    <w:p w14:paraId="0A5CC193" w14:textId="77777777" w:rsidR="00851AFF" w:rsidRDefault="00851AFF" w:rsidP="00057919">
      <w:pPr>
        <w:jc w:val="both"/>
      </w:pPr>
    </w:p>
    <w:p w14:paraId="3F150B0C" w14:textId="59EAFACC" w:rsidR="0068614A" w:rsidRPr="000F4429" w:rsidRDefault="000F4429" w:rsidP="00316D66">
      <w:pPr>
        <w:jc w:val="both"/>
        <w:rPr>
          <w:b/>
          <w:i/>
        </w:rPr>
      </w:pPr>
      <w:r w:rsidRPr="000F4429">
        <w:rPr>
          <w:b/>
          <w:i/>
        </w:rPr>
        <w:t xml:space="preserve">Nel Cap. 5 della relazione si è ritenuto di evidenziare </w:t>
      </w:r>
      <w:r>
        <w:rPr>
          <w:b/>
          <w:i/>
        </w:rPr>
        <w:t>una serie di aspetti:</w:t>
      </w:r>
    </w:p>
    <w:p w14:paraId="2555B2FD" w14:textId="5C16793A" w:rsidR="0068614A" w:rsidRPr="00F808F6" w:rsidRDefault="00316D96" w:rsidP="00F700F2">
      <w:pPr>
        <w:pStyle w:val="Paragrafoelenco"/>
        <w:numPr>
          <w:ilvl w:val="0"/>
          <w:numId w:val="9"/>
        </w:numPr>
        <w:spacing w:after="120"/>
        <w:ind w:left="714" w:hanging="357"/>
        <w:contextualSpacing w:val="0"/>
        <w:jc w:val="both"/>
      </w:pPr>
      <w:r>
        <w:t xml:space="preserve">I CIFM </w:t>
      </w:r>
      <w:r w:rsidR="00B51100">
        <w:t xml:space="preserve">sia fluviali che lacustri </w:t>
      </w:r>
      <w:r>
        <w:t xml:space="preserve">sono stati quasi sempre </w:t>
      </w:r>
      <w:r w:rsidR="00B51100">
        <w:t>individuati sulla base del D. 156/2013;</w:t>
      </w:r>
      <w:r w:rsidR="003C6F0A">
        <w:t xml:space="preserve"> relativamente ai CIA l’impiego del Decreto è stato più contenuto</w:t>
      </w:r>
      <w:r w:rsidR="00B51100">
        <w:t xml:space="preserve"> per i fluv</w:t>
      </w:r>
      <w:r w:rsidR="000926AF">
        <w:t>iali, ma soprattutto per i lacustri;</w:t>
      </w:r>
      <w:r w:rsidR="004D022B">
        <w:t xml:space="preserve"> in molti</w:t>
      </w:r>
      <w:r w:rsidR="000926AF">
        <w:t xml:space="preserve"> casi cioè</w:t>
      </w:r>
      <w:r w:rsidR="004D022B">
        <w:t>,</w:t>
      </w:r>
      <w:r w:rsidR="000926AF">
        <w:t xml:space="preserve"> per gli artificiali</w:t>
      </w:r>
      <w:r w:rsidR="004D022B">
        <w:t>,</w:t>
      </w:r>
      <w:r w:rsidR="000926AF">
        <w:t xml:space="preserve"> </w:t>
      </w:r>
      <w:r w:rsidR="004D022B">
        <w:t xml:space="preserve">si è </w:t>
      </w:r>
      <w:r w:rsidR="00346EEF">
        <w:t xml:space="preserve">(si era) </w:t>
      </w:r>
      <w:r w:rsidR="004D022B">
        <w:t xml:space="preserve">assunto semplicemente </w:t>
      </w:r>
      <w:r w:rsidR="004D022B" w:rsidRPr="004D022B">
        <w:t xml:space="preserve">quanto riportato nella </w:t>
      </w:r>
      <w:proofErr w:type="spellStart"/>
      <w:r w:rsidR="004D022B" w:rsidRPr="004D022B">
        <w:t>G</w:t>
      </w:r>
      <w:r w:rsidR="004D022B">
        <w:t>uidance</w:t>
      </w:r>
      <w:proofErr w:type="spellEnd"/>
      <w:r w:rsidR="004D022B">
        <w:t xml:space="preserve"> </w:t>
      </w:r>
      <w:proofErr w:type="spellStart"/>
      <w:r w:rsidR="004D022B">
        <w:t>Document</w:t>
      </w:r>
      <w:proofErr w:type="spellEnd"/>
      <w:r w:rsidR="004D022B">
        <w:t xml:space="preserve"> n. 4 del 2003 della CE:</w:t>
      </w:r>
      <w:r w:rsidR="008873F5">
        <w:t xml:space="preserve"> </w:t>
      </w:r>
      <w:r w:rsidR="004D022B" w:rsidRPr="004D022B">
        <w:t>“Un corpo idrico artificiale è un corpo idrico superficiale creato in un luogo dove non esistevano acque superficiali o comunque non vi erano elementi di acque superficiali tali da poter essere considerati distinti e significativi e pertanto non id</w:t>
      </w:r>
      <w:r w:rsidR="004D022B">
        <w:t>entificabili come corpi idrici”</w:t>
      </w:r>
      <w:r w:rsidR="00F95B7E">
        <w:t xml:space="preserve"> - </w:t>
      </w:r>
      <w:r w:rsidR="003C6F0A">
        <w:t>per i fluviali</w:t>
      </w:r>
      <w:r w:rsidR="00F95B7E">
        <w:t xml:space="preserve">, </w:t>
      </w:r>
      <w:r w:rsidR="004D022B" w:rsidRPr="004D022B">
        <w:t xml:space="preserve">indipendentemente </w:t>
      </w:r>
      <w:r w:rsidR="004D022B">
        <w:t>quindi dallo stato ecologico</w:t>
      </w:r>
      <w:r w:rsidR="00F700F2">
        <w:t xml:space="preserve"> buono o non buono</w:t>
      </w:r>
      <w:r w:rsidR="004D022B">
        <w:t>,</w:t>
      </w:r>
      <w:r w:rsidR="004D022B" w:rsidRPr="004D022B">
        <w:t xml:space="preserve"> ma soprattutt</w:t>
      </w:r>
      <w:r w:rsidR="004D022B">
        <w:t>o</w:t>
      </w:r>
      <w:r w:rsidR="00F95B7E">
        <w:t>,</w:t>
      </w:r>
      <w:r w:rsidR="004D022B">
        <w:t xml:space="preserve"> nella maggior parte dei casi</w:t>
      </w:r>
      <w:r w:rsidR="00F95B7E">
        <w:t>,</w:t>
      </w:r>
      <w:r w:rsidR="004D022B" w:rsidRPr="004D022B">
        <w:t xml:space="preserve"> indipendente</w:t>
      </w:r>
      <w:r w:rsidR="004D022B">
        <w:t>mente</w:t>
      </w:r>
      <w:r w:rsidR="004D022B" w:rsidRPr="004D022B">
        <w:t xml:space="preserve"> dal fatto “che non raggiunga il buono stato ecologico perché artificiale”</w:t>
      </w:r>
      <w:r w:rsidR="004D022B">
        <w:t>; relativamente a quest’ultimo aspetto</w:t>
      </w:r>
      <w:r w:rsidR="002C6852">
        <w:t xml:space="preserve">, anche per i CIFM </w:t>
      </w:r>
      <w:r w:rsidR="003C6F0A">
        <w:t xml:space="preserve">fluviali </w:t>
      </w:r>
      <w:r w:rsidR="002C6852">
        <w:t>prevale</w:t>
      </w:r>
      <w:r w:rsidR="00F95B7E">
        <w:t>, contrariamente a quanto indicato dalla norma,</w:t>
      </w:r>
      <w:r w:rsidR="002C6852">
        <w:t xml:space="preserve"> l’individuazione </w:t>
      </w:r>
      <w:r w:rsidR="002C6852" w:rsidRPr="00F808F6">
        <w:t xml:space="preserve">indipendentemente dal fatto che lo stato non buono dipenda </w:t>
      </w:r>
      <w:r w:rsidR="00A269AD" w:rsidRPr="00F808F6">
        <w:t>“dalle sole alterazioni morfologiche e idrologiche”</w:t>
      </w:r>
      <w:r w:rsidR="00F700F2" w:rsidRPr="00F808F6">
        <w:t>; probabilmente qui il termine “</w:t>
      </w:r>
      <w:r w:rsidR="00A54B1F">
        <w:t>da</w:t>
      </w:r>
      <w:r w:rsidR="003C6F0A" w:rsidRPr="00F808F6">
        <w:t>lle sole</w:t>
      </w:r>
      <w:r w:rsidR="00F700F2" w:rsidRPr="00F808F6">
        <w:t xml:space="preserve">” </w:t>
      </w:r>
      <w:r w:rsidR="00F95B7E" w:rsidRPr="00F808F6">
        <w:t>è stato male int</w:t>
      </w:r>
      <w:r w:rsidR="005D14E7" w:rsidRPr="00F808F6">
        <w:t>e</w:t>
      </w:r>
      <w:r w:rsidR="00F95B7E" w:rsidRPr="00F808F6">
        <w:t>rpretato, poiché si intende qui che anche rimuovendo le altre pressioni, il CIFM non raggiung</w:t>
      </w:r>
      <w:r w:rsidR="007113BB">
        <w:t>erebbe comunque il buono stato.</w:t>
      </w:r>
    </w:p>
    <w:p w14:paraId="63C04F67" w14:textId="3AE9DA0D" w:rsidR="00F700F2" w:rsidRDefault="007F38CA" w:rsidP="00F65A5C">
      <w:pPr>
        <w:pStyle w:val="Paragrafoelenco"/>
        <w:numPr>
          <w:ilvl w:val="0"/>
          <w:numId w:val="9"/>
        </w:numPr>
        <w:spacing w:after="120"/>
        <w:contextualSpacing w:val="0"/>
        <w:jc w:val="both"/>
      </w:pPr>
      <w:r w:rsidRPr="00F808F6">
        <w:t>Per tutti quelli che hanno utilizzato il D. 156/2013, nelle risposte prevale, anche se non di molto, il raggiungimento della designazione, rispetto alla sola identificazione preliminare (salv</w:t>
      </w:r>
      <w:r w:rsidR="003C6F0A" w:rsidRPr="00F808F6">
        <w:t>o i CIA lacustri); esclusivamente</w:t>
      </w:r>
      <w:r w:rsidRPr="00F808F6">
        <w:t xml:space="preserve"> in un paio di casi sono </w:t>
      </w:r>
      <w:r w:rsidR="003C6F0A" w:rsidRPr="00F808F6">
        <w:t xml:space="preserve">però </w:t>
      </w:r>
      <w:r w:rsidRPr="00F808F6">
        <w:t xml:space="preserve">risultate reperibili </w:t>
      </w:r>
      <w:r w:rsidR="003C6F0A" w:rsidRPr="00F808F6">
        <w:t xml:space="preserve">(anche cercando </w:t>
      </w:r>
      <w:r w:rsidRPr="00F808F6">
        <w:t>sul web</w:t>
      </w:r>
      <w:r w:rsidR="003C6F0A" w:rsidRPr="00F808F6">
        <w:t>)</w:t>
      </w:r>
      <w:r w:rsidRPr="00F808F6">
        <w:t xml:space="preserve"> le metodologie utilizzate (Trento ed Emilia-Romagna) </w:t>
      </w:r>
      <w:r w:rsidR="00A269AD" w:rsidRPr="00F808F6">
        <w:t xml:space="preserve">e relativamente </w:t>
      </w:r>
      <w:r w:rsidRPr="00F808F6">
        <w:t>ai soli CIFM</w:t>
      </w:r>
      <w:r w:rsidR="00C754AB">
        <w:t xml:space="preserve"> fluviali</w:t>
      </w:r>
      <w:r w:rsidRPr="00F808F6">
        <w:t xml:space="preserve">. </w:t>
      </w:r>
      <w:r w:rsidR="00A269AD" w:rsidRPr="00F808F6">
        <w:t xml:space="preserve">Si ritiene </w:t>
      </w:r>
      <w:r w:rsidR="003C6F0A" w:rsidRPr="00F808F6">
        <w:t>comunque</w:t>
      </w:r>
      <w:r w:rsidR="00A269AD" w:rsidRPr="00F808F6">
        <w:t xml:space="preserve"> che </w:t>
      </w:r>
      <w:r w:rsidR="00F65A5C" w:rsidRPr="00F808F6">
        <w:t>Bolzano, Veneto e Friuli-Venezia-Giu</w:t>
      </w:r>
      <w:r w:rsidR="0076447E" w:rsidRPr="00F808F6">
        <w:t xml:space="preserve">lia abbiano </w:t>
      </w:r>
      <w:r w:rsidR="00F65A5C" w:rsidRPr="00F808F6">
        <w:t xml:space="preserve">utilizzato l’approccio metodologico dall’Autorità </w:t>
      </w:r>
      <w:r w:rsidR="00F65A5C" w:rsidRPr="00F65A5C">
        <w:t>di Bacino distrettuale delle Alpi Orientali</w:t>
      </w:r>
      <w:r w:rsidR="00F65A5C">
        <w:t xml:space="preserve">, di cui al Cap. </w:t>
      </w:r>
      <w:r w:rsidR="00F65A5C">
        <w:fldChar w:fldCharType="begin"/>
      </w:r>
      <w:r w:rsidR="00F65A5C">
        <w:instrText xml:space="preserve"> REF _Ref125023896 \r \h </w:instrText>
      </w:r>
      <w:r w:rsidR="00F65A5C">
        <w:fldChar w:fldCharType="separate"/>
      </w:r>
      <w:r w:rsidR="00F65A5C">
        <w:t>4</w:t>
      </w:r>
      <w:r w:rsidR="00F65A5C">
        <w:fldChar w:fldCharType="end"/>
      </w:r>
      <w:r w:rsidR="00A269AD">
        <w:t>, anch’esso</w:t>
      </w:r>
      <w:r w:rsidR="00F65A5C">
        <w:t xml:space="preserve"> relati</w:t>
      </w:r>
      <w:r w:rsidR="00D24B34">
        <w:t>vo ai soli CIFM</w:t>
      </w:r>
      <w:r w:rsidR="00C754AB">
        <w:t xml:space="preserve"> fluviali</w:t>
      </w:r>
      <w:r w:rsidR="00D24B34">
        <w:t xml:space="preserve">; si evidenzia che tale approccio autorizzerebbe una valutazione qualitativa e non numerica dei costi sproporzionati, facilitando </w:t>
      </w:r>
      <w:r w:rsidR="00D64DC0">
        <w:t>co</w:t>
      </w:r>
      <w:r w:rsidR="0076447E">
        <w:t xml:space="preserve">sì le cose, ma rendendole </w:t>
      </w:r>
      <w:r w:rsidR="00D24B34">
        <w:t>meno oggettive.</w:t>
      </w:r>
    </w:p>
    <w:p w14:paraId="63B304CC" w14:textId="7D5540F4" w:rsidR="00F65A5C" w:rsidRDefault="00F65A5C" w:rsidP="0009641B">
      <w:pPr>
        <w:pStyle w:val="Paragrafoelenco"/>
        <w:numPr>
          <w:ilvl w:val="0"/>
          <w:numId w:val="9"/>
        </w:numPr>
        <w:spacing w:after="120"/>
        <w:contextualSpacing w:val="0"/>
        <w:jc w:val="both"/>
      </w:pPr>
      <w:r>
        <w:t>L</w:t>
      </w:r>
      <w:r w:rsidRPr="00F65A5C">
        <w:t>a metodologia di classificazione del potenziale ecologico di cui al DD n.</w:t>
      </w:r>
      <w:r w:rsidR="00474E78">
        <w:t xml:space="preserve"> </w:t>
      </w:r>
      <w:r w:rsidRPr="00F65A5C">
        <w:t>341/STA del 2016</w:t>
      </w:r>
      <w:r>
        <w:t xml:space="preserve"> è stata quasi sempre applicata</w:t>
      </w:r>
      <w:r w:rsidR="0009641B">
        <w:t xml:space="preserve"> e </w:t>
      </w:r>
      <w:r w:rsidR="0009641B" w:rsidRPr="0009641B">
        <w:t>il ri</w:t>
      </w:r>
      <w:r w:rsidR="0009641B">
        <w:t xml:space="preserve">sultato </w:t>
      </w:r>
      <w:r w:rsidR="0009641B" w:rsidRPr="0009641B">
        <w:t>utilizzato ai fini della classificazione</w:t>
      </w:r>
      <w:r w:rsidR="0009641B">
        <w:t xml:space="preserve">; nelle poche risposte negative </w:t>
      </w:r>
      <w:r w:rsidR="0076447E">
        <w:t xml:space="preserve">pervenute </w:t>
      </w:r>
      <w:r w:rsidR="0009641B">
        <w:t>la criticità è risultata spesso legata a difficoltà nel monitoraggio</w:t>
      </w:r>
      <w:r w:rsidR="00F95B7E">
        <w:t>/valutazione di taluni</w:t>
      </w:r>
      <w:r w:rsidR="0009641B">
        <w:t xml:space="preserve"> EQB.</w:t>
      </w:r>
    </w:p>
    <w:p w14:paraId="65CBF2E7" w14:textId="241B3814" w:rsidR="0009641B" w:rsidRPr="00F808F6" w:rsidRDefault="00E10F91" w:rsidP="000002D8">
      <w:pPr>
        <w:pStyle w:val="Paragrafoelenco"/>
        <w:numPr>
          <w:ilvl w:val="0"/>
          <w:numId w:val="9"/>
        </w:numPr>
        <w:spacing w:after="120"/>
        <w:contextualSpacing w:val="0"/>
        <w:jc w:val="both"/>
      </w:pPr>
      <w:r>
        <w:t>N</w:t>
      </w:r>
      <w:r w:rsidR="0009641B">
        <w:t>el</w:t>
      </w:r>
      <w:r w:rsidR="0009641B" w:rsidRPr="0009641B">
        <w:t xml:space="preserve">la classificazione </w:t>
      </w:r>
      <w:r w:rsidR="0009641B">
        <w:t>hanno preval</w:t>
      </w:r>
      <w:r>
        <w:t>so</w:t>
      </w:r>
      <w:r w:rsidR="0009641B">
        <w:t xml:space="preserve"> le Regioni/P.A. che non </w:t>
      </w:r>
      <w:r w:rsidR="0009641B" w:rsidRPr="0009641B">
        <w:t>ha</w:t>
      </w:r>
      <w:r w:rsidR="0009641B">
        <w:t xml:space="preserve">nno usufruito </w:t>
      </w:r>
      <w:r w:rsidR="0009641B" w:rsidRPr="0009641B">
        <w:t xml:space="preserve">del processo decisionale guidato sulle misure di mitigazione </w:t>
      </w:r>
      <w:proofErr w:type="spellStart"/>
      <w:r w:rsidR="0009641B" w:rsidRPr="0009641B">
        <w:t>idromorfolo</w:t>
      </w:r>
      <w:r w:rsidR="0009641B">
        <w:t>gica</w:t>
      </w:r>
      <w:proofErr w:type="spellEnd"/>
      <w:r w:rsidR="0009641B">
        <w:t xml:space="preserve"> (PDG-MMI o metodo "Praga")</w:t>
      </w:r>
      <w:r>
        <w:t>, anche se di poco per i CIFM, mentre per i CIA l’utilizzo è stato modesto per i fluviali, nullo per i lacustri, almeno considerando coloro che hanno risposto</w:t>
      </w:r>
      <w:r w:rsidR="00E03CAC">
        <w:t>. P</w:t>
      </w:r>
      <w:r w:rsidR="000002D8">
        <w:t xml:space="preserve">er i </w:t>
      </w:r>
      <w:r w:rsidR="000002D8" w:rsidRPr="00F808F6">
        <w:t>lacustri</w:t>
      </w:r>
      <w:r w:rsidR="00E03CAC" w:rsidRPr="00F808F6">
        <w:t>,</w:t>
      </w:r>
      <w:r w:rsidR="000002D8" w:rsidRPr="00F808F6">
        <w:t xml:space="preserve"> lo scarso utilizzo è probabilmente legat</w:t>
      </w:r>
      <w:r w:rsidR="00E03CAC" w:rsidRPr="00F808F6">
        <w:t>o</w:t>
      </w:r>
      <w:r w:rsidR="000002D8" w:rsidRPr="00F808F6">
        <w:t xml:space="preserve"> al fatto che tutti i parametri chimico-fisici, chimici e biologici richiesti sono già in molti casi monitorati e quindi il metodo “Praga” non è richiesto; </w:t>
      </w:r>
      <w:r w:rsidRPr="00F808F6">
        <w:t xml:space="preserve">in effetti, sulla base anche di quanto indicato </w:t>
      </w:r>
      <w:r w:rsidR="00C26E8D">
        <w:t>in relazione</w:t>
      </w:r>
      <w:r w:rsidRPr="00F808F6">
        <w:t xml:space="preserve">, si ritiene che per i CIA </w:t>
      </w:r>
      <w:r w:rsidR="00A928B3" w:rsidRPr="00F808F6">
        <w:t xml:space="preserve">fluviali </w:t>
      </w:r>
      <w:r w:rsidRPr="00F808F6">
        <w:t xml:space="preserve">l’applicazione lasci molte perplessità, perlomeno sulla base dei criteri </w:t>
      </w:r>
      <w:r w:rsidRPr="00F808F6">
        <w:lastRenderedPageBreak/>
        <w:t>al momento individuati</w:t>
      </w:r>
      <w:r w:rsidR="008A1BC4" w:rsidRPr="00F808F6">
        <w:t xml:space="preserve"> nella Tabella 5 dell’Allegato 2 </w:t>
      </w:r>
      <w:r w:rsidR="00346EEF">
        <w:t xml:space="preserve">del DD n. 341/STA </w:t>
      </w:r>
      <w:r w:rsidR="008A1BC4" w:rsidRPr="00F808F6">
        <w:t>(</w:t>
      </w:r>
      <w:r w:rsidR="00346EEF">
        <w:t>“</w:t>
      </w:r>
      <w:r w:rsidR="008A1BC4" w:rsidRPr="00F808F6">
        <w:t>Presenza di alterazioni per la regolazione delle acque per drenaggio dei terreni</w:t>
      </w:r>
      <w:r w:rsidR="00346EEF">
        <w:t>”</w:t>
      </w:r>
      <w:r w:rsidR="008A1BC4" w:rsidRPr="00F808F6">
        <w:t>)</w:t>
      </w:r>
      <w:r w:rsidRPr="00F808F6">
        <w:t>.</w:t>
      </w:r>
    </w:p>
    <w:p w14:paraId="5C327E3A" w14:textId="77777777" w:rsidR="00D862C9" w:rsidRPr="00F808F6" w:rsidRDefault="00D862C9" w:rsidP="00D862C9">
      <w:pPr>
        <w:pStyle w:val="Paragrafoelenco"/>
        <w:numPr>
          <w:ilvl w:val="0"/>
          <w:numId w:val="9"/>
        </w:numPr>
        <w:spacing w:after="120"/>
        <w:contextualSpacing w:val="0"/>
        <w:jc w:val="both"/>
      </w:pPr>
      <w:r w:rsidRPr="00F808F6">
        <w:t xml:space="preserve">In un significativo numero di casi, sia per i CIFM che per i CIA, le "misure di mitigazione" del PDG-MMI (o metodo "Praga") sono state considerate fra quelle dei </w:t>
      </w:r>
      <w:proofErr w:type="spellStart"/>
      <w:r w:rsidRPr="00F808F6">
        <w:t>PdG</w:t>
      </w:r>
      <w:proofErr w:type="spellEnd"/>
      <w:r w:rsidRPr="00F808F6">
        <w:t xml:space="preserve"> 2021.</w:t>
      </w:r>
    </w:p>
    <w:p w14:paraId="18217002" w14:textId="6309B874" w:rsidR="00F70C7B" w:rsidRPr="00F808F6" w:rsidRDefault="00D862C9" w:rsidP="00316D66">
      <w:pPr>
        <w:pStyle w:val="Paragrafoelenco"/>
        <w:numPr>
          <w:ilvl w:val="0"/>
          <w:numId w:val="9"/>
        </w:numPr>
        <w:spacing w:after="120"/>
        <w:contextualSpacing w:val="0"/>
        <w:jc w:val="both"/>
      </w:pPr>
      <w:r w:rsidRPr="00F808F6">
        <w:t>Alcune Regioni hanno attribuito la categoria di CIA agli invasi creati dalla costruzione di una diga su un corpo idrico fluviale naturale, in contrasto</w:t>
      </w:r>
      <w:r w:rsidR="00D24B34" w:rsidRPr="00F808F6">
        <w:t xml:space="preserve"> con quanto indicato al punto B.4.1.2 del D. 156/2013</w:t>
      </w:r>
      <w:r w:rsidR="00E03CAC" w:rsidRPr="00F808F6">
        <w:t xml:space="preserve"> e dalla CIS </w:t>
      </w:r>
      <w:proofErr w:type="spellStart"/>
      <w:r w:rsidR="00E03CAC" w:rsidRPr="00F808F6">
        <w:t>Guidance</w:t>
      </w:r>
      <w:proofErr w:type="spellEnd"/>
      <w:r w:rsidR="00E03CAC" w:rsidRPr="00F808F6">
        <w:t xml:space="preserve"> </w:t>
      </w:r>
      <w:r w:rsidR="0052347E">
        <w:t>n. </w:t>
      </w:r>
      <w:r w:rsidR="00E03CAC" w:rsidRPr="00F808F6">
        <w:t>4</w:t>
      </w:r>
      <w:r w:rsidR="00167EDD" w:rsidRPr="00F808F6">
        <w:t xml:space="preserve">; nel corso della </w:t>
      </w:r>
      <w:r w:rsidR="00821E62" w:rsidRPr="00F808F6">
        <w:t xml:space="preserve">presente </w:t>
      </w:r>
      <w:r w:rsidR="00167EDD" w:rsidRPr="00F808F6">
        <w:t>ricognizione parte delle regioni hanno corretto l’attribuzione, altre no</w:t>
      </w:r>
      <w:r w:rsidR="00346EEF">
        <w:t xml:space="preserve">; la Toscana ha indicato che riconsidererà tale aspetto ai fini del </w:t>
      </w:r>
      <w:proofErr w:type="spellStart"/>
      <w:r w:rsidR="00346EEF">
        <w:t>PdG</w:t>
      </w:r>
      <w:proofErr w:type="spellEnd"/>
      <w:r w:rsidR="00346EEF">
        <w:t xml:space="preserve"> 2027</w:t>
      </w:r>
      <w:r w:rsidR="00D24B34" w:rsidRPr="00F808F6">
        <w:t>.</w:t>
      </w:r>
    </w:p>
    <w:p w14:paraId="55D2B6A5" w14:textId="5CAADC1A" w:rsidR="00167EDD" w:rsidRPr="00F808F6" w:rsidRDefault="00821E62" w:rsidP="00A61615">
      <w:pPr>
        <w:pStyle w:val="Paragrafoelenco"/>
        <w:numPr>
          <w:ilvl w:val="0"/>
          <w:numId w:val="9"/>
        </w:numPr>
        <w:spacing w:after="120"/>
        <w:contextualSpacing w:val="0"/>
        <w:jc w:val="both"/>
      </w:pPr>
      <w:r>
        <w:t>Per le aste fluviali</w:t>
      </w:r>
      <w:r w:rsidR="00E03CAC">
        <w:t>,</w:t>
      </w:r>
      <w:r>
        <w:t xml:space="preserve"> il DM 131/2008</w:t>
      </w:r>
      <w:r w:rsidR="003A7F28">
        <w:t xml:space="preserve"> </w:t>
      </w:r>
      <w:r w:rsidR="00E03CAC">
        <w:t xml:space="preserve">indica </w:t>
      </w:r>
      <w:r w:rsidR="003A7F28">
        <w:t>in 10 kmq la minima area drenata per l’individuazione dei relativi corpi idrici</w:t>
      </w:r>
      <w:r w:rsidR="00E03CAC">
        <w:t xml:space="preserve"> da monitorare obbligatoriamente</w:t>
      </w:r>
      <w:r w:rsidR="003A7F28">
        <w:t>;</w:t>
      </w:r>
      <w:r w:rsidR="00E03CAC">
        <w:t xml:space="preserve"> per aree drenate inferiori, l’obbligo si ha se esiste un rischio di non raggiungimento degli obiettivi di qualità di quei corpi idrici. G</w:t>
      </w:r>
      <w:r w:rsidR="003A7F28">
        <w:t>ià per i naturali</w:t>
      </w:r>
      <w:r w:rsidR="00E03CAC">
        <w:t>,</w:t>
      </w:r>
      <w:r w:rsidR="003A7F28">
        <w:t xml:space="preserve"> si è scelto quasi ovunque di aumentare tale limite, principalmente per rendere </w:t>
      </w:r>
      <w:r w:rsidR="00E03CAC">
        <w:t xml:space="preserve">fattibili e </w:t>
      </w:r>
      <w:r w:rsidR="003A7F28">
        <w:t>gestibili le attività di monitoraggio e classificazione (ad esempio l’</w:t>
      </w:r>
      <w:proofErr w:type="spellStart"/>
      <w:r w:rsidR="003A7F28">
        <w:t>AdB</w:t>
      </w:r>
      <w:proofErr w:type="spellEnd"/>
      <w:r w:rsidR="003A7F28">
        <w:t xml:space="preserve"> del Fiume Po aveva in origine indicato un limite s</w:t>
      </w:r>
      <w:r w:rsidR="00346EEF">
        <w:t>ui 25 kmq); ciò è stato fatto ancora di più</w:t>
      </w:r>
      <w:r w:rsidR="003A7F28">
        <w:t xml:space="preserve"> per le aste artificiali, che evidenziano portate spe</w:t>
      </w:r>
      <w:r w:rsidR="00346EEF">
        <w:t>cifiche minori (l/s/kmq). I</w:t>
      </w:r>
      <w:r w:rsidR="00167EDD">
        <w:t xml:space="preserve"> criteri </w:t>
      </w:r>
      <w:r w:rsidR="003A7F28">
        <w:t xml:space="preserve">che sono stati </w:t>
      </w:r>
      <w:r w:rsidR="00167EDD" w:rsidRPr="00167EDD">
        <w:t xml:space="preserve">utilizzati </w:t>
      </w:r>
      <w:r w:rsidR="00A61615">
        <w:t>nelle regioni/</w:t>
      </w:r>
      <w:r w:rsidR="00E03CAC">
        <w:t>PA</w:t>
      </w:r>
      <w:r w:rsidR="00A61615">
        <w:t xml:space="preserve"> </w:t>
      </w:r>
      <w:r w:rsidR="00167EDD" w:rsidRPr="00167EDD">
        <w:t>per l'identificazione dei CIA</w:t>
      </w:r>
      <w:r w:rsidR="004B5C83">
        <w:t xml:space="preserve"> risultano alquanto diversificati, considerando</w:t>
      </w:r>
      <w:r w:rsidR="00E03CAC">
        <w:t>,</w:t>
      </w:r>
      <w:r w:rsidR="004B5C83">
        <w:t xml:space="preserve"> a seconda dei casi</w:t>
      </w:r>
      <w:r w:rsidR="00E03CAC">
        <w:t>,</w:t>
      </w:r>
      <w:r w:rsidR="004B5C83">
        <w:t xml:space="preserve"> diverse variabili o la loro combinazione (superficie, </w:t>
      </w:r>
      <w:r w:rsidR="004B5C83" w:rsidRPr="00F808F6">
        <w:t>lunghezza, portata</w:t>
      </w:r>
      <w:r w:rsidR="003A7F28" w:rsidRPr="00F808F6">
        <w:t xml:space="preserve"> media</w:t>
      </w:r>
      <w:r w:rsidR="004B5C83" w:rsidRPr="00F808F6">
        <w:t xml:space="preserve">, impatti, </w:t>
      </w:r>
      <w:r w:rsidR="00145E1F" w:rsidRPr="00F808F6">
        <w:t xml:space="preserve">presenza di </w:t>
      </w:r>
      <w:r w:rsidR="004B5C83" w:rsidRPr="00F808F6">
        <w:t>aree protette</w:t>
      </w:r>
      <w:r w:rsidR="003A7F28" w:rsidRPr="00F808F6">
        <w:t>). L</w:t>
      </w:r>
      <w:r w:rsidR="00A61615" w:rsidRPr="00F808F6">
        <w:t xml:space="preserve">a Parte seconda </w:t>
      </w:r>
      <w:r w:rsidR="0047072A" w:rsidRPr="00F808F6">
        <w:t>degli A</w:t>
      </w:r>
      <w:r w:rsidR="00A61615" w:rsidRPr="00F808F6">
        <w:t xml:space="preserve">pprofondimenti </w:t>
      </w:r>
      <w:r w:rsidR="0047072A" w:rsidRPr="00F808F6">
        <w:t>(</w:t>
      </w:r>
      <w:r w:rsidR="00674D62" w:rsidRPr="00F808F6">
        <w:t xml:space="preserve">con </w:t>
      </w:r>
      <w:r w:rsidR="0047072A" w:rsidRPr="00F808F6">
        <w:t xml:space="preserve">la </w:t>
      </w:r>
      <w:r w:rsidR="00674D62" w:rsidRPr="00F808F6">
        <w:t>versione definitiva che è del</w:t>
      </w:r>
      <w:r w:rsidR="0047072A" w:rsidRPr="00F808F6">
        <w:t xml:space="preserve"> 2020) </w:t>
      </w:r>
      <w:r w:rsidR="00A61615" w:rsidRPr="00F808F6">
        <w:t>del DD n.</w:t>
      </w:r>
      <w:r w:rsidR="00871E16">
        <w:t> </w:t>
      </w:r>
      <w:r w:rsidR="00A61615" w:rsidRPr="00F808F6">
        <w:t>341/STA</w:t>
      </w:r>
      <w:r w:rsidR="00E03CAC" w:rsidRPr="00F808F6">
        <w:t>,</w:t>
      </w:r>
      <w:r w:rsidR="00A61615" w:rsidRPr="00F808F6">
        <w:t xml:space="preserve"> al p.to “A. Individuazione dei tipi di corpi idrici artificiali fluviali”</w:t>
      </w:r>
      <w:r w:rsidR="00E03CAC" w:rsidRPr="00F808F6">
        <w:t>,</w:t>
      </w:r>
      <w:r w:rsidR="00A61615" w:rsidRPr="00F808F6">
        <w:t xml:space="preserve"> </w:t>
      </w:r>
      <w:r w:rsidR="00145E1F" w:rsidRPr="00F808F6">
        <w:t xml:space="preserve">prevede </w:t>
      </w:r>
      <w:r w:rsidR="00674D62" w:rsidRPr="00F808F6">
        <w:t>di considerare o i 10 kmq di bacino scolante oppure una serie di</w:t>
      </w:r>
      <w:r w:rsidR="00145E1F" w:rsidRPr="00F808F6">
        <w:t xml:space="preserve"> casistiche</w:t>
      </w:r>
      <w:r w:rsidR="00674D62" w:rsidRPr="00F808F6">
        <w:t>, legate principalmente agli obiettivi ambientali connessi alle aree protette presenti o agli obiettivi dei corpi idrici a valle</w:t>
      </w:r>
      <w:r w:rsidR="00E03CAC" w:rsidRPr="00F808F6">
        <w:t xml:space="preserve">. Tuttavia, </w:t>
      </w:r>
      <w:r w:rsidR="00674D62" w:rsidRPr="00F808F6">
        <w:t xml:space="preserve">tale norma </w:t>
      </w:r>
      <w:r w:rsidR="00145E1F" w:rsidRPr="00F808F6">
        <w:t xml:space="preserve">è successiva, nella maggior parte dei casi, alla individuazione </w:t>
      </w:r>
      <w:r w:rsidR="00246FA4" w:rsidRPr="00F808F6">
        <w:t xml:space="preserve">dei CIA </w:t>
      </w:r>
      <w:r w:rsidR="00145E1F" w:rsidRPr="00F808F6">
        <w:t>fatta dalle</w:t>
      </w:r>
      <w:r w:rsidR="004B3273" w:rsidRPr="00F808F6">
        <w:t xml:space="preserve"> regioni/</w:t>
      </w:r>
      <w:r w:rsidR="00E03CAC" w:rsidRPr="00F808F6">
        <w:t>PA</w:t>
      </w:r>
      <w:r w:rsidR="004B3273" w:rsidRPr="00F808F6">
        <w:t xml:space="preserve"> e </w:t>
      </w:r>
      <w:r w:rsidR="00C0286D" w:rsidRPr="00F808F6">
        <w:t>viene</w:t>
      </w:r>
      <w:r w:rsidR="00246FA4" w:rsidRPr="00F808F6">
        <w:t xml:space="preserve"> </w:t>
      </w:r>
      <w:r w:rsidR="004B3273" w:rsidRPr="00F808F6">
        <w:t xml:space="preserve">quindi </w:t>
      </w:r>
      <w:r w:rsidR="00246FA4" w:rsidRPr="00F808F6">
        <w:t>utilizzata solo per eventuali</w:t>
      </w:r>
      <w:r w:rsidR="00145E1F" w:rsidRPr="00F808F6">
        <w:t xml:space="preserve"> aggiornamenti.</w:t>
      </w:r>
      <w:r w:rsidR="00246FA4" w:rsidRPr="00F808F6">
        <w:t xml:space="preserve"> </w:t>
      </w:r>
      <w:r w:rsidR="004B3273" w:rsidRPr="00F808F6">
        <w:t>Per avere un minimo di omogeneità</w:t>
      </w:r>
      <w:r w:rsidR="00E03CAC" w:rsidRPr="00F808F6">
        <w:t>,</w:t>
      </w:r>
      <w:r w:rsidR="004B3273" w:rsidRPr="00F808F6">
        <w:t xml:space="preserve"> p</w:t>
      </w:r>
      <w:r w:rsidR="00246FA4" w:rsidRPr="00F808F6">
        <w:t xml:space="preserve">otrebbe essere opportuno </w:t>
      </w:r>
      <w:r w:rsidR="004B3273" w:rsidRPr="00F808F6">
        <w:t xml:space="preserve">prevedere comunque un limite inferiore, </w:t>
      </w:r>
      <w:r w:rsidR="00E03CAC" w:rsidRPr="00F808F6">
        <w:t xml:space="preserve">per le reti di bonifica, </w:t>
      </w:r>
      <w:r w:rsidR="004B3273" w:rsidRPr="00F808F6">
        <w:t>attorno agli 80-100 kmq di bacino drenato</w:t>
      </w:r>
      <w:r w:rsidR="00871E16">
        <w:t>,</w:t>
      </w:r>
      <w:r w:rsidR="004B3273" w:rsidRPr="00F808F6">
        <w:t xml:space="preserve"> oltre il quale le aste artificiali vadano sicuramente considerate.</w:t>
      </w:r>
    </w:p>
    <w:p w14:paraId="0FB5C172" w14:textId="23C25B0E" w:rsidR="00FD6674" w:rsidRDefault="00A13512" w:rsidP="00FD6674">
      <w:pPr>
        <w:pStyle w:val="Paragrafoelenco"/>
        <w:numPr>
          <w:ilvl w:val="0"/>
          <w:numId w:val="9"/>
        </w:numPr>
        <w:spacing w:after="120"/>
        <w:contextualSpacing w:val="0"/>
        <w:jc w:val="both"/>
      </w:pPr>
      <w:r w:rsidRPr="00F808F6">
        <w:t>Si riporta</w:t>
      </w:r>
      <w:r w:rsidR="00FD6674" w:rsidRPr="00F808F6">
        <w:t xml:space="preserve"> un breve passo del verbale della riunione del 16 maggio 2017 relativa agli Esiti della sperimentazione della metodologia “Classificazione del potenziale ecologico per i corpi idrici fortemente modificati e artificiali fluviali e lacustri” nel quale si indica (Dott.ssa </w:t>
      </w:r>
      <w:proofErr w:type="spellStart"/>
      <w:r w:rsidR="00FD6674" w:rsidRPr="00F808F6">
        <w:t>Minciardi</w:t>
      </w:r>
      <w:proofErr w:type="spellEnd"/>
      <w:r w:rsidR="00FD6674" w:rsidRPr="00F808F6">
        <w:t xml:space="preserve">): “Sono designati quali CIA </w:t>
      </w:r>
      <w:r w:rsidR="00C754AB" w:rsidRPr="00C754AB">
        <w:rPr>
          <w:i/>
        </w:rPr>
        <w:t>(fluviali)</w:t>
      </w:r>
      <w:r w:rsidR="00C754AB">
        <w:t xml:space="preserve"> </w:t>
      </w:r>
      <w:r w:rsidR="00FD6674" w:rsidRPr="00F808F6">
        <w:t xml:space="preserve">sia quelli che si presentano con caratteristiche </w:t>
      </w:r>
      <w:proofErr w:type="spellStart"/>
      <w:r w:rsidR="00FD6674" w:rsidRPr="00F808F6">
        <w:t>naturaliformi</w:t>
      </w:r>
      <w:proofErr w:type="spellEnd"/>
      <w:r w:rsidR="00FD6674" w:rsidRPr="00F808F6">
        <w:t xml:space="preserve"> sia quelli che hanno caratteristiche marcatamente artificiali riconducibili ad una “condotta idraulica”. In questo ultimo caso l’elevata artificialità conduce a ritenere sufficienti, nella maggior parte dei casi, solo valutazioni di tipo fisico-chimico e chimico”</w:t>
      </w:r>
      <w:r w:rsidRPr="00F808F6">
        <w:t>. Q</w:t>
      </w:r>
      <w:r w:rsidR="00FD6674" w:rsidRPr="00F808F6">
        <w:t xml:space="preserve">uesto </w:t>
      </w:r>
      <w:r w:rsidRPr="00F808F6">
        <w:t xml:space="preserve">aspetto </w:t>
      </w:r>
      <w:r w:rsidR="00FD6674" w:rsidRPr="00F808F6">
        <w:t>si</w:t>
      </w:r>
      <w:r w:rsidRPr="00F808F6">
        <w:t xml:space="preserve"> ritiene corretto e applicabile</w:t>
      </w:r>
      <w:r w:rsidR="00E03CAC" w:rsidRPr="00F808F6">
        <w:t>,</w:t>
      </w:r>
      <w:r w:rsidRPr="00F808F6">
        <w:t xml:space="preserve"> in particolare</w:t>
      </w:r>
      <w:r w:rsidR="00FD6674" w:rsidRPr="00F808F6">
        <w:t xml:space="preserve"> se le stesse valutazioni di tipo fisico-chimico e chimico già da sole determinano </w:t>
      </w:r>
      <w:r w:rsidR="003B7E4B" w:rsidRPr="00F808F6">
        <w:t xml:space="preserve">uno stato/potenziale ecologico minore di buono (per </w:t>
      </w:r>
      <w:proofErr w:type="spellStart"/>
      <w:r w:rsidR="003B7E4B" w:rsidRPr="00F808F6">
        <w:t>LIMeco</w:t>
      </w:r>
      <w:proofErr w:type="spellEnd"/>
      <w:r w:rsidR="003B7E4B" w:rsidRPr="00F808F6">
        <w:t>, fitofarmaci o altre sostanze chimiche pericolose)</w:t>
      </w:r>
      <w:r w:rsidR="007C53A4" w:rsidRPr="00F808F6">
        <w:t>, evitando in tale modo il monitoraggio degli EQB</w:t>
      </w:r>
      <w:r w:rsidR="00E03CAC" w:rsidRPr="00F808F6">
        <w:t>,</w:t>
      </w:r>
      <w:r w:rsidRPr="00F808F6">
        <w:t xml:space="preserve"> che risulta spesso problematico, anche in termini </w:t>
      </w:r>
      <w:r>
        <w:t>di sicurezza degli operatori;</w:t>
      </w:r>
      <w:r w:rsidR="007C53A4">
        <w:t xml:space="preserve"> </w:t>
      </w:r>
      <w:r>
        <w:t xml:space="preserve">ciò </w:t>
      </w:r>
      <w:r w:rsidR="007C53A4">
        <w:t>a meno che parte di essi siano richiesti su stazioni appartenenti alla Direttiva nitrati</w:t>
      </w:r>
      <w:r w:rsidR="00FD6674" w:rsidRPr="00FD6674">
        <w:t>.</w:t>
      </w:r>
    </w:p>
    <w:p w14:paraId="108D0A9C" w14:textId="237AEB49" w:rsidR="00FD6674" w:rsidRDefault="00FD6674" w:rsidP="00FD6674">
      <w:pPr>
        <w:spacing w:after="120"/>
        <w:jc w:val="both"/>
      </w:pPr>
    </w:p>
    <w:p w14:paraId="1AF7B45E" w14:textId="2BCF4AC6" w:rsidR="00DF3B02" w:rsidRPr="000F4429" w:rsidRDefault="000F4429" w:rsidP="00316D66">
      <w:pPr>
        <w:jc w:val="both"/>
        <w:rPr>
          <w:b/>
        </w:rPr>
      </w:pPr>
      <w:r w:rsidRPr="000F4429">
        <w:rPr>
          <w:b/>
        </w:rPr>
        <w:t xml:space="preserve">Per la revisione delle LG ISPRA 116/2014 si propone quindi di </w:t>
      </w:r>
      <w:r w:rsidR="005239E6">
        <w:rPr>
          <w:b/>
        </w:rPr>
        <w:t xml:space="preserve">considerare almeno i </w:t>
      </w:r>
      <w:r>
        <w:rPr>
          <w:b/>
        </w:rPr>
        <w:t>punti</w:t>
      </w:r>
      <w:r w:rsidR="005239E6">
        <w:rPr>
          <w:b/>
        </w:rPr>
        <w:t xml:space="preserve"> di seguito elencati</w:t>
      </w:r>
      <w:r w:rsidR="00DF3B02">
        <w:rPr>
          <w:b/>
        </w:rPr>
        <w:t xml:space="preserve">, </w:t>
      </w:r>
      <w:r w:rsidR="00DF3B02" w:rsidRPr="0058670F">
        <w:rPr>
          <w:b/>
          <w:color w:val="FF0000"/>
        </w:rPr>
        <w:t>per i quali si auspicano Vostre considerazioni</w:t>
      </w:r>
      <w:r w:rsidR="00DF3B02">
        <w:rPr>
          <w:b/>
        </w:rPr>
        <w:t>, oltre a quelle emerse nel corso della riunione del 19/6</w:t>
      </w:r>
      <w:r w:rsidR="005239E6">
        <w:rPr>
          <w:b/>
        </w:rPr>
        <w:t>:</w:t>
      </w:r>
    </w:p>
    <w:tbl>
      <w:tblPr>
        <w:tblStyle w:val="Grigliatabella"/>
        <w:tblW w:w="0" w:type="auto"/>
        <w:tblLook w:val="04A0" w:firstRow="1" w:lastRow="0" w:firstColumn="1" w:lastColumn="0" w:noHBand="0" w:noVBand="1"/>
      </w:tblPr>
      <w:tblGrid>
        <w:gridCol w:w="9628"/>
      </w:tblGrid>
      <w:tr w:rsidR="001368DB" w14:paraId="09DD6A91" w14:textId="77777777" w:rsidTr="001368DB">
        <w:tc>
          <w:tcPr>
            <w:tcW w:w="9628" w:type="dxa"/>
          </w:tcPr>
          <w:p w14:paraId="79674560" w14:textId="19878F0F" w:rsidR="001368DB" w:rsidRDefault="001368DB" w:rsidP="00316D66">
            <w:pPr>
              <w:jc w:val="both"/>
            </w:pPr>
            <w:r>
              <w:rPr>
                <w:rFonts w:cstheme="minorHAnsi"/>
              </w:rPr>
              <w:t>●</w:t>
            </w:r>
            <w:r>
              <w:t xml:space="preserve"> </w:t>
            </w:r>
            <w:r w:rsidR="005239E6">
              <w:t>D</w:t>
            </w:r>
            <w:r w:rsidRPr="001368DB">
              <w:t xml:space="preserve">i ritenere accettabili le modalità di classificazione del potenziale ecologico di cui al DD 341/STA/2016, già impiegate dalla maggior parte delle ARPA/APPA nelle classificazioni per i </w:t>
            </w:r>
            <w:proofErr w:type="spellStart"/>
            <w:r w:rsidRPr="001368DB">
              <w:t>PdG</w:t>
            </w:r>
            <w:proofErr w:type="spellEnd"/>
            <w:r w:rsidRPr="001368DB">
              <w:t xml:space="preserve"> del 2021, anche se le differenze rispetto allo stato ecologico (in termini di limiti e co</w:t>
            </w:r>
            <w:r w:rsidR="00C26E8D">
              <w:t>efficienti sugli EQB) sono spesso</w:t>
            </w:r>
            <w:r w:rsidRPr="001368DB">
              <w:t xml:space="preserve"> ridotte e quindi se lo stato ecologico non è buono, quasi sempre è tale anche il potenziale ecologico; è corretto affermare che in altri paesi europei la forbice è maggiore? (In Francia ad esempio per i CIFM fluviali fra gli </w:t>
            </w:r>
            <w:r w:rsidRPr="001368DB">
              <w:lastRenderedPageBreak/>
              <w:t>EQB si considerano le sole Diatomee, per il fisico-chimico diversi parametri, ma ad es. NO3 &lt; 50 mg/l e P &lt; 0.2 mg/l per il buono);</w:t>
            </w:r>
          </w:p>
        </w:tc>
      </w:tr>
      <w:tr w:rsidR="001368DB" w14:paraId="5D64EC76" w14:textId="77777777" w:rsidTr="001368DB">
        <w:tc>
          <w:tcPr>
            <w:tcW w:w="9628" w:type="dxa"/>
          </w:tcPr>
          <w:p w14:paraId="50896517" w14:textId="77777777" w:rsidR="001368DB" w:rsidRDefault="00F31D0F" w:rsidP="00316D66">
            <w:pPr>
              <w:jc w:val="both"/>
            </w:pPr>
            <w:r w:rsidRPr="00B63059">
              <w:rPr>
                <w:i/>
              </w:rPr>
              <w:lastRenderedPageBreak/>
              <w:t>Valutazioni già emerse durante riunione del 19/6</w:t>
            </w:r>
            <w:r>
              <w:t>:</w:t>
            </w:r>
            <w:r w:rsidR="00B63059">
              <w:t xml:space="preserve"> </w:t>
            </w:r>
          </w:p>
          <w:p w14:paraId="510C6A46" w14:textId="1831FEF4" w:rsidR="00BE7FD4" w:rsidRPr="006120E5" w:rsidRDefault="00BE7FD4" w:rsidP="00453F50">
            <w:pPr>
              <w:spacing w:after="120"/>
              <w:jc w:val="both"/>
              <w:rPr>
                <w:color w:val="0070C0"/>
              </w:rPr>
            </w:pPr>
            <w:r w:rsidRPr="006120E5">
              <w:rPr>
                <w:color w:val="0070C0"/>
              </w:rPr>
              <w:t xml:space="preserve">(Tremolada) Differenze ridotte - può valere per i CIFM </w:t>
            </w:r>
            <w:r w:rsidRPr="006120E5">
              <w:rPr>
                <w:i/>
                <w:color w:val="0070C0"/>
              </w:rPr>
              <w:t xml:space="preserve">(le diatomee non si modificano, mentre si modificano i </w:t>
            </w:r>
            <w:proofErr w:type="spellStart"/>
            <w:r w:rsidRPr="006120E5">
              <w:rPr>
                <w:i/>
                <w:color w:val="0070C0"/>
              </w:rPr>
              <w:t>macroinvertebrati</w:t>
            </w:r>
            <w:proofErr w:type="spellEnd"/>
            <w:r w:rsidRPr="006120E5">
              <w:rPr>
                <w:i/>
                <w:color w:val="0070C0"/>
              </w:rPr>
              <w:t>, solitamente di poco per i CIFM, di parecchio per i CIA – Tabelle 4 e 5 – Allegato 1 del DD 341/STA)</w:t>
            </w:r>
            <w:r w:rsidRPr="006120E5">
              <w:rPr>
                <w:color w:val="0070C0"/>
              </w:rPr>
              <w:t xml:space="preserve"> ma non per i CIA dove si monitorano i </w:t>
            </w:r>
            <w:proofErr w:type="spellStart"/>
            <w:r w:rsidRPr="006120E5">
              <w:rPr>
                <w:color w:val="0070C0"/>
              </w:rPr>
              <w:t>macroinvertebrati</w:t>
            </w:r>
            <w:proofErr w:type="spellEnd"/>
            <w:r w:rsidRPr="006120E5">
              <w:rPr>
                <w:color w:val="0070C0"/>
              </w:rPr>
              <w:t>: per questi la differenza è significativa (c’è un problema di valori di riferimento)</w:t>
            </w:r>
            <w:r w:rsidR="00453F50">
              <w:rPr>
                <w:color w:val="0070C0"/>
              </w:rPr>
              <w:t>.</w:t>
            </w:r>
          </w:p>
          <w:p w14:paraId="0E4DE55D" w14:textId="57075481" w:rsidR="00574CAB" w:rsidRDefault="00574CAB" w:rsidP="00316D66">
            <w:pPr>
              <w:jc w:val="both"/>
            </w:pPr>
            <w:r w:rsidRPr="006120E5">
              <w:rPr>
                <w:color w:val="0070C0"/>
              </w:rPr>
              <w:t>(</w:t>
            </w:r>
            <w:proofErr w:type="spellStart"/>
            <w:r w:rsidRPr="006120E5">
              <w:rPr>
                <w:color w:val="0070C0"/>
              </w:rPr>
              <w:t>Ferroni</w:t>
            </w:r>
            <w:proofErr w:type="spellEnd"/>
            <w:r w:rsidRPr="006120E5">
              <w:rPr>
                <w:color w:val="0070C0"/>
              </w:rPr>
              <w:t xml:space="preserve">) </w:t>
            </w:r>
            <w:r w:rsidR="00E84CF6" w:rsidRPr="006120E5">
              <w:rPr>
                <w:color w:val="0070C0"/>
              </w:rPr>
              <w:t>Per gli invasi (CIFM) i limiti per il fitoplancton non cambiano sia che si parli di stato che di potenziale, quindi nessuna differenza nella classificazione, ora condotta considerando l’indice IPAM.</w:t>
            </w:r>
          </w:p>
        </w:tc>
      </w:tr>
      <w:tr w:rsidR="001368DB" w14:paraId="11698F22" w14:textId="77777777" w:rsidTr="001368DB">
        <w:tc>
          <w:tcPr>
            <w:tcW w:w="9628" w:type="dxa"/>
          </w:tcPr>
          <w:p w14:paraId="19F71824" w14:textId="77777777" w:rsidR="001368DB" w:rsidRDefault="00F31D0F" w:rsidP="00316D66">
            <w:pPr>
              <w:jc w:val="both"/>
              <w:rPr>
                <w:color w:val="FF0000"/>
              </w:rPr>
            </w:pPr>
            <w:r w:rsidRPr="00B63059">
              <w:rPr>
                <w:b/>
                <w:i/>
                <w:color w:val="FF0000"/>
              </w:rPr>
              <w:t xml:space="preserve">Valutazioni </w:t>
            </w:r>
            <w:r w:rsidR="00B63059" w:rsidRPr="00B63059">
              <w:rPr>
                <w:b/>
                <w:i/>
                <w:color w:val="FF0000"/>
              </w:rPr>
              <w:t>che ritenete di fare</w:t>
            </w:r>
            <w:r w:rsidR="00B63059" w:rsidRPr="00B63059">
              <w:rPr>
                <w:color w:val="FF0000"/>
              </w:rPr>
              <w:t>:</w:t>
            </w:r>
            <w:r w:rsidR="00B63059">
              <w:rPr>
                <w:color w:val="FF0000"/>
              </w:rPr>
              <w:t xml:space="preserve"> </w:t>
            </w:r>
          </w:p>
          <w:p w14:paraId="76115151" w14:textId="5780ED66" w:rsidR="006120E5" w:rsidRDefault="006120E5" w:rsidP="00316D66">
            <w:pPr>
              <w:jc w:val="both"/>
            </w:pPr>
          </w:p>
        </w:tc>
      </w:tr>
      <w:tr w:rsidR="00B63059" w14:paraId="75B81ED0" w14:textId="77777777" w:rsidTr="001368DB">
        <w:tc>
          <w:tcPr>
            <w:tcW w:w="9628" w:type="dxa"/>
          </w:tcPr>
          <w:p w14:paraId="6BA6B69A" w14:textId="77777777" w:rsidR="00B63059" w:rsidRPr="00453F50" w:rsidRDefault="00B63059" w:rsidP="00316D66">
            <w:pPr>
              <w:jc w:val="both"/>
              <w:rPr>
                <w:b/>
                <w:i/>
              </w:rPr>
            </w:pPr>
          </w:p>
        </w:tc>
      </w:tr>
      <w:tr w:rsidR="001368DB" w14:paraId="06EFC5E3" w14:textId="77777777" w:rsidTr="001368DB">
        <w:tc>
          <w:tcPr>
            <w:tcW w:w="9628" w:type="dxa"/>
          </w:tcPr>
          <w:p w14:paraId="1B9D91D1" w14:textId="6F3F8490" w:rsidR="001368DB" w:rsidRDefault="001368DB" w:rsidP="00316D66">
            <w:pPr>
              <w:jc w:val="both"/>
            </w:pPr>
            <w:r w:rsidRPr="001368DB">
              <w:t>●</w:t>
            </w:r>
            <w:r w:rsidR="00F31D0F">
              <w:t xml:space="preserve"> </w:t>
            </w:r>
            <w:r w:rsidR="005239E6">
              <w:t>P</w:t>
            </w:r>
            <w:r w:rsidRPr="001368DB">
              <w:t xml:space="preserve">er i CIFM fluviali individuati con criteri morfologici (Tabella 1 del DM 156/2013) si consiglierebbe di assumerli tali anche se lo stato ecologico è buono, ma con uno o più indicatori </w:t>
            </w:r>
            <w:proofErr w:type="spellStart"/>
            <w:r w:rsidRPr="001368DB">
              <w:t>border</w:t>
            </w:r>
            <w:proofErr w:type="spellEnd"/>
            <w:r w:rsidRPr="001368DB">
              <w:t>-line tra buono e sufficiente, allo scopo di evitarne frequentemente l’ingresso/l’uscita dall’elenco dei CIFM; sempre per i CIFM fluviali considerarli tali assumendo che “il mancato raggiungimento del buono stato ecologico sia comunque tale in relazione alle sole alterazioni fisiche …..”</w:t>
            </w:r>
            <w:r w:rsidR="005239E6">
              <w:t>, anche in assenza di indagini di dettaglio al riguardo</w:t>
            </w:r>
            <w:r w:rsidRPr="001368DB">
              <w:t xml:space="preserve">; per i CIA fluviali mantenerli tali indipendentemente dallo stato ecologico e dalla natura delle pressioni che fanno eventualmente fallire la classificazione ecologica, assumendo semplicemente la definizione contenuta </w:t>
            </w:r>
            <w:proofErr w:type="spellStart"/>
            <w:r w:rsidRPr="001368DB">
              <w:t>Guidance</w:t>
            </w:r>
            <w:proofErr w:type="spellEnd"/>
            <w:r w:rsidRPr="001368DB">
              <w:t xml:space="preserve"> </w:t>
            </w:r>
            <w:proofErr w:type="spellStart"/>
            <w:r w:rsidRPr="001368DB">
              <w:t>Document</w:t>
            </w:r>
            <w:proofErr w:type="spellEnd"/>
            <w:r w:rsidRPr="001368DB">
              <w:t xml:space="preserve"> n. 4 della CE: “Un corpo idrico artificiale è un corpo idrico superficiale creato in un luogo dove non esistevano acque superficiali o comunque non vi erano elementi di acque superficiali tali da poter essere considerati distinti e significativi e pertanto non identificabili come corpi idrici”;</w:t>
            </w:r>
          </w:p>
        </w:tc>
      </w:tr>
      <w:tr w:rsidR="00B63059" w14:paraId="3C712502" w14:textId="77777777" w:rsidTr="001368DB">
        <w:tc>
          <w:tcPr>
            <w:tcW w:w="9628" w:type="dxa"/>
          </w:tcPr>
          <w:p w14:paraId="1BF7DF6F" w14:textId="77777777" w:rsidR="00B63059" w:rsidRDefault="00B63059" w:rsidP="00B63059">
            <w:pPr>
              <w:jc w:val="both"/>
            </w:pPr>
            <w:r w:rsidRPr="00B63059">
              <w:rPr>
                <w:i/>
              </w:rPr>
              <w:t>Valutazioni già emerse durante riunione del 19/6</w:t>
            </w:r>
            <w:r>
              <w:t xml:space="preserve">: </w:t>
            </w:r>
          </w:p>
          <w:p w14:paraId="4B629E27" w14:textId="107383DB" w:rsidR="00DF3B02" w:rsidRDefault="00DF3B02" w:rsidP="00B63059">
            <w:pPr>
              <w:jc w:val="both"/>
              <w:rPr>
                <w:color w:val="0070C0"/>
              </w:rPr>
            </w:pPr>
            <w:r>
              <w:rPr>
                <w:color w:val="0070C0"/>
              </w:rPr>
              <w:t>(</w:t>
            </w:r>
            <w:proofErr w:type="spellStart"/>
            <w:r>
              <w:rPr>
                <w:color w:val="0070C0"/>
              </w:rPr>
              <w:t>Bussettini</w:t>
            </w:r>
            <w:proofErr w:type="spellEnd"/>
            <w:r>
              <w:rPr>
                <w:color w:val="0070C0"/>
              </w:rPr>
              <w:t>) P</w:t>
            </w:r>
            <w:r w:rsidRPr="00DF3B02">
              <w:rPr>
                <w:color w:val="0070C0"/>
              </w:rPr>
              <w:t>er gli artificiali e i fortemente modificati che siano identificati come tali lo stato dovrebbe risultare non buono per le sole caratteristiche di artificialità e per le modificazioni morfologiche, indipendentemente dalla presenza di altre pressioni</w:t>
            </w:r>
            <w:r>
              <w:rPr>
                <w:color w:val="0070C0"/>
              </w:rPr>
              <w:t>.</w:t>
            </w:r>
          </w:p>
          <w:p w14:paraId="326CA12C" w14:textId="5A7BAFB0" w:rsidR="00DF3B02" w:rsidRDefault="00DF3B02" w:rsidP="00453F50">
            <w:pPr>
              <w:spacing w:after="120"/>
              <w:jc w:val="both"/>
              <w:rPr>
                <w:color w:val="0070C0"/>
              </w:rPr>
            </w:pPr>
            <w:r>
              <w:rPr>
                <w:color w:val="0070C0"/>
              </w:rPr>
              <w:t>N</w:t>
            </w:r>
            <w:r w:rsidRPr="00DF3B02">
              <w:rPr>
                <w:color w:val="0070C0"/>
              </w:rPr>
              <w:t>ella valutazione dello stato ecologico si evidenzia un problema di metriche sugli EQB, che non permettono di rilevare in modo adeguato le modificazioni morfologiche che sono presenti e quindi a volte determinano un buono stato anche quando lo stesso non dovrebbe essere tale</w:t>
            </w:r>
            <w:r>
              <w:rPr>
                <w:color w:val="0070C0"/>
              </w:rPr>
              <w:t>.</w:t>
            </w:r>
          </w:p>
          <w:p w14:paraId="2A7DF01C" w14:textId="33F11C49" w:rsidR="005B116F" w:rsidRDefault="005B116F" w:rsidP="00B63059">
            <w:pPr>
              <w:jc w:val="both"/>
            </w:pPr>
            <w:r w:rsidRPr="006120E5">
              <w:rPr>
                <w:color w:val="0070C0"/>
              </w:rPr>
              <w:t>(</w:t>
            </w:r>
            <w:proofErr w:type="spellStart"/>
            <w:r w:rsidRPr="006120E5">
              <w:rPr>
                <w:color w:val="0070C0"/>
              </w:rPr>
              <w:t>Tanduo</w:t>
            </w:r>
            <w:proofErr w:type="spellEnd"/>
            <w:r w:rsidRPr="006120E5">
              <w:rPr>
                <w:color w:val="0070C0"/>
              </w:rPr>
              <w:t>) In presenza di forte artificialità o di rilevanti alterazioni idro-morfologiche non recuperabili la designazione di CIFM o CIA viene mantenuta anche se in talune circostanze lo stato risulta buono.</w:t>
            </w:r>
          </w:p>
        </w:tc>
      </w:tr>
      <w:tr w:rsidR="00B63059" w14:paraId="213B26C1" w14:textId="77777777" w:rsidTr="001368DB">
        <w:tc>
          <w:tcPr>
            <w:tcW w:w="9628" w:type="dxa"/>
          </w:tcPr>
          <w:p w14:paraId="56190C3B" w14:textId="77777777" w:rsidR="00B63059" w:rsidRDefault="00B63059" w:rsidP="00B63059">
            <w:pPr>
              <w:jc w:val="both"/>
              <w:rPr>
                <w:color w:val="FF0000"/>
              </w:rPr>
            </w:pPr>
            <w:r w:rsidRPr="00B63059">
              <w:rPr>
                <w:b/>
                <w:i/>
                <w:color w:val="FF0000"/>
              </w:rPr>
              <w:t>Valutazioni che ritenete di fare</w:t>
            </w:r>
            <w:r w:rsidRPr="00B63059">
              <w:rPr>
                <w:color w:val="FF0000"/>
              </w:rPr>
              <w:t>:</w:t>
            </w:r>
            <w:r>
              <w:rPr>
                <w:color w:val="FF0000"/>
              </w:rPr>
              <w:t xml:space="preserve"> </w:t>
            </w:r>
          </w:p>
          <w:p w14:paraId="2C750B31" w14:textId="4E5A0190" w:rsidR="006120E5" w:rsidRDefault="006120E5" w:rsidP="00B63059">
            <w:pPr>
              <w:jc w:val="both"/>
            </w:pPr>
          </w:p>
        </w:tc>
      </w:tr>
      <w:tr w:rsidR="00B63059" w14:paraId="42A65BCA" w14:textId="77777777" w:rsidTr="001368DB">
        <w:tc>
          <w:tcPr>
            <w:tcW w:w="9628" w:type="dxa"/>
          </w:tcPr>
          <w:p w14:paraId="45E022DD" w14:textId="77777777" w:rsidR="00B63059" w:rsidRPr="00453F50" w:rsidRDefault="00B63059" w:rsidP="00B63059">
            <w:pPr>
              <w:jc w:val="both"/>
              <w:rPr>
                <w:b/>
                <w:i/>
              </w:rPr>
            </w:pPr>
          </w:p>
        </w:tc>
      </w:tr>
      <w:tr w:rsidR="001368DB" w14:paraId="068974B0" w14:textId="77777777" w:rsidTr="001368DB">
        <w:tc>
          <w:tcPr>
            <w:tcW w:w="9628" w:type="dxa"/>
          </w:tcPr>
          <w:p w14:paraId="1F0B109F" w14:textId="1AF3DCA0" w:rsidR="001368DB" w:rsidRDefault="001368DB" w:rsidP="00316D66">
            <w:pPr>
              <w:jc w:val="both"/>
            </w:pPr>
            <w:r>
              <w:rPr>
                <w:rFonts w:cstheme="minorHAnsi"/>
              </w:rPr>
              <w:t>●</w:t>
            </w:r>
            <w:r w:rsidR="00F31D0F">
              <w:rPr>
                <w:rFonts w:cstheme="minorHAnsi"/>
              </w:rPr>
              <w:t xml:space="preserve"> </w:t>
            </w:r>
            <w:r w:rsidR="005239E6">
              <w:t>I</w:t>
            </w:r>
            <w:r w:rsidRPr="001368DB">
              <w:t xml:space="preserve"> CIA lacustri identificati con modalità precedenti a quelle indicate nel DM 156/2013, qualora generati dalla presenza di sbarramenti su un fiume, se il corpo idrico a monte ha cambiato categoria ed è ascrivibile alla nuova categoria di "lago", vanno designati come CIFM</w:t>
            </w:r>
            <w:r w:rsidR="00C26E8D">
              <w:t xml:space="preserve">, </w:t>
            </w:r>
            <w:r w:rsidR="00C26E8D" w:rsidRPr="005239E6">
              <w:t>questo indipendentemente dall’eventuale stato/potenziale buono ottenuto dal monitoraggio</w:t>
            </w:r>
            <w:r w:rsidRPr="005239E6">
              <w:t>;</w:t>
            </w:r>
          </w:p>
        </w:tc>
      </w:tr>
      <w:tr w:rsidR="00B63059" w14:paraId="3AAF3152" w14:textId="77777777" w:rsidTr="001368DB">
        <w:tc>
          <w:tcPr>
            <w:tcW w:w="9628" w:type="dxa"/>
          </w:tcPr>
          <w:p w14:paraId="76BB6552" w14:textId="77777777" w:rsidR="00B63059" w:rsidRDefault="00B63059" w:rsidP="00B63059">
            <w:pPr>
              <w:jc w:val="both"/>
            </w:pPr>
            <w:r w:rsidRPr="00B63059">
              <w:rPr>
                <w:i/>
              </w:rPr>
              <w:t>Valutazioni già emerse durante riunione del 19/6</w:t>
            </w:r>
            <w:r>
              <w:t xml:space="preserve">: </w:t>
            </w:r>
          </w:p>
          <w:p w14:paraId="5D5881AE" w14:textId="77777777" w:rsidR="00BE7FD4" w:rsidRPr="006120E5" w:rsidRDefault="00BE7FD4" w:rsidP="00B63059">
            <w:pPr>
              <w:jc w:val="both"/>
              <w:rPr>
                <w:color w:val="0070C0"/>
              </w:rPr>
            </w:pPr>
            <w:r w:rsidRPr="006120E5">
              <w:rPr>
                <w:color w:val="0070C0"/>
              </w:rPr>
              <w:t xml:space="preserve">(Paoli – </w:t>
            </w:r>
            <w:proofErr w:type="spellStart"/>
            <w:r w:rsidRPr="006120E5">
              <w:rPr>
                <w:color w:val="0070C0"/>
              </w:rPr>
              <w:t>Mancaniello</w:t>
            </w:r>
            <w:proofErr w:type="spellEnd"/>
            <w:r w:rsidRPr="006120E5">
              <w:rPr>
                <w:color w:val="0070C0"/>
              </w:rPr>
              <w:t>) Alcune ARPA (es. Liguria e Marche) hanno effettuato tale modifica, anche se per le Marche la stessa non è ancora stata recepita dalla Regione.</w:t>
            </w:r>
          </w:p>
          <w:p w14:paraId="194D046B" w14:textId="3087491B" w:rsidR="00574CAB" w:rsidRDefault="00574CAB" w:rsidP="00B63059">
            <w:pPr>
              <w:jc w:val="both"/>
            </w:pPr>
            <w:r w:rsidRPr="006120E5">
              <w:rPr>
                <w:color w:val="0070C0"/>
              </w:rPr>
              <w:t>In riunione condivisione circa il fatto che se anche lo stato/potenziale risulta buono, la designazione come CIFM va mantenuta.</w:t>
            </w:r>
          </w:p>
        </w:tc>
      </w:tr>
      <w:tr w:rsidR="00B63059" w14:paraId="613392CB" w14:textId="77777777" w:rsidTr="001368DB">
        <w:tc>
          <w:tcPr>
            <w:tcW w:w="9628" w:type="dxa"/>
          </w:tcPr>
          <w:p w14:paraId="23AD9AD1" w14:textId="77777777" w:rsidR="00B63059" w:rsidRDefault="00B63059" w:rsidP="00B63059">
            <w:pPr>
              <w:jc w:val="both"/>
              <w:rPr>
                <w:color w:val="FF0000"/>
              </w:rPr>
            </w:pPr>
            <w:r w:rsidRPr="00B63059">
              <w:rPr>
                <w:b/>
                <w:i/>
                <w:color w:val="FF0000"/>
              </w:rPr>
              <w:t>Valutazioni che ritenete di fare</w:t>
            </w:r>
            <w:r w:rsidRPr="00B63059">
              <w:rPr>
                <w:color w:val="FF0000"/>
              </w:rPr>
              <w:t>:</w:t>
            </w:r>
            <w:r>
              <w:rPr>
                <w:color w:val="FF0000"/>
              </w:rPr>
              <w:t xml:space="preserve"> </w:t>
            </w:r>
          </w:p>
          <w:p w14:paraId="1AA258C1" w14:textId="355FE825" w:rsidR="006120E5" w:rsidRDefault="006120E5" w:rsidP="00B63059">
            <w:pPr>
              <w:jc w:val="both"/>
            </w:pPr>
          </w:p>
        </w:tc>
      </w:tr>
      <w:tr w:rsidR="00B63059" w14:paraId="6D6A4062" w14:textId="77777777" w:rsidTr="001368DB">
        <w:tc>
          <w:tcPr>
            <w:tcW w:w="9628" w:type="dxa"/>
          </w:tcPr>
          <w:p w14:paraId="6C6803E4" w14:textId="77777777" w:rsidR="00B63059" w:rsidRPr="00453F50" w:rsidRDefault="00B63059" w:rsidP="00B63059">
            <w:pPr>
              <w:jc w:val="both"/>
              <w:rPr>
                <w:b/>
                <w:i/>
              </w:rPr>
            </w:pPr>
          </w:p>
        </w:tc>
      </w:tr>
      <w:tr w:rsidR="001368DB" w14:paraId="3AC5BD10" w14:textId="77777777" w:rsidTr="001368DB">
        <w:tc>
          <w:tcPr>
            <w:tcW w:w="9628" w:type="dxa"/>
          </w:tcPr>
          <w:p w14:paraId="4B73F689" w14:textId="40C911F4" w:rsidR="001368DB" w:rsidRDefault="001368DB" w:rsidP="00316D66">
            <w:pPr>
              <w:jc w:val="both"/>
            </w:pPr>
            <w:r>
              <w:rPr>
                <w:rFonts w:cstheme="minorHAnsi"/>
              </w:rPr>
              <w:t>●</w:t>
            </w:r>
            <w:r w:rsidR="00F31D0F">
              <w:rPr>
                <w:rFonts w:cstheme="minorHAnsi"/>
              </w:rPr>
              <w:t xml:space="preserve"> </w:t>
            </w:r>
            <w:r w:rsidR="005239E6">
              <w:t>P</w:t>
            </w:r>
            <w:r w:rsidRPr="001368DB">
              <w:t xml:space="preserve">er i CIFM fluviali e lacustri occorre valutare se per passare dalla identificazione preliminare alla designazione siano sufficienti criteri in termini di giudizio esperto (qualitativi) basati sulla fattibilità tecnica di possibili azioni di mitigazione per pensare di raggiungere il PEB e sulla non sostenibilità socio-economica </w:t>
            </w:r>
            <w:r w:rsidRPr="001368DB">
              <w:lastRenderedPageBreak/>
              <w:t xml:space="preserve">delle possibili azioni di recupero (i cosiddetti “altri mezzi”), oppure se occorre arrivare all’analisi dei costi sproporzionati, come previsto dalla CIS </w:t>
            </w:r>
            <w:proofErr w:type="spellStart"/>
            <w:r w:rsidRPr="001368DB">
              <w:t>Guidance</w:t>
            </w:r>
            <w:proofErr w:type="spellEnd"/>
            <w:r w:rsidRPr="001368DB">
              <w:t xml:space="preserve"> n°4;</w:t>
            </w:r>
          </w:p>
        </w:tc>
      </w:tr>
      <w:tr w:rsidR="00B63059" w14:paraId="6703781F" w14:textId="77777777" w:rsidTr="001368DB">
        <w:tc>
          <w:tcPr>
            <w:tcW w:w="9628" w:type="dxa"/>
          </w:tcPr>
          <w:p w14:paraId="697B2371" w14:textId="340BA1AF" w:rsidR="00B63059" w:rsidRDefault="00B63059" w:rsidP="00B63059">
            <w:pPr>
              <w:jc w:val="both"/>
            </w:pPr>
            <w:r w:rsidRPr="00B63059">
              <w:rPr>
                <w:i/>
              </w:rPr>
              <w:lastRenderedPageBreak/>
              <w:t>Valutazioni già emerse durante riunione del 19/6</w:t>
            </w:r>
            <w:r w:rsidR="00DF3B02">
              <w:t>:</w:t>
            </w:r>
          </w:p>
          <w:p w14:paraId="6034DCB2" w14:textId="44143A70" w:rsidR="00DF3B02" w:rsidRDefault="00DF3B02" w:rsidP="00B63059">
            <w:pPr>
              <w:jc w:val="both"/>
            </w:pPr>
            <w:r w:rsidRPr="00DF3B02">
              <w:rPr>
                <w:color w:val="0070C0"/>
              </w:rPr>
              <w:t>(</w:t>
            </w:r>
            <w:proofErr w:type="spellStart"/>
            <w:r w:rsidRPr="00DF3B02">
              <w:rPr>
                <w:color w:val="0070C0"/>
              </w:rPr>
              <w:t>Bussettini</w:t>
            </w:r>
            <w:proofErr w:type="spellEnd"/>
            <w:r w:rsidRPr="00DF3B02">
              <w:rPr>
                <w:color w:val="0070C0"/>
              </w:rPr>
              <w:t xml:space="preserve">) Per quanto riguarda le modalità di designazione, chi ha già provveduto lo ha fatto interpretando i criteri di base forniti dal 156/2013 e i contenuti della </w:t>
            </w:r>
            <w:proofErr w:type="spellStart"/>
            <w:r w:rsidRPr="00DF3B02">
              <w:rPr>
                <w:color w:val="0070C0"/>
              </w:rPr>
              <w:t>Guidance</w:t>
            </w:r>
            <w:proofErr w:type="spellEnd"/>
            <w:r w:rsidRPr="00DF3B02">
              <w:rPr>
                <w:color w:val="0070C0"/>
              </w:rPr>
              <w:t xml:space="preserve"> </w:t>
            </w:r>
            <w:proofErr w:type="spellStart"/>
            <w:r w:rsidRPr="00DF3B02">
              <w:rPr>
                <w:color w:val="0070C0"/>
              </w:rPr>
              <w:t>Document</w:t>
            </w:r>
            <w:proofErr w:type="spellEnd"/>
            <w:r w:rsidRPr="00DF3B02">
              <w:rPr>
                <w:color w:val="0070C0"/>
              </w:rPr>
              <w:t xml:space="preserve"> n. 4; mancano però specifiche indicazioni sulla procedura di designazione, che dovrebbero venire dal Ministero, anche alla luce delle valutazioni e applicazioni fatte in questi anni a livello europeo</w:t>
            </w:r>
            <w:r>
              <w:rPr>
                <w:color w:val="0070C0"/>
              </w:rPr>
              <w:t>.</w:t>
            </w:r>
          </w:p>
        </w:tc>
      </w:tr>
      <w:tr w:rsidR="00B63059" w14:paraId="4F2C4D5F" w14:textId="77777777" w:rsidTr="001368DB">
        <w:tc>
          <w:tcPr>
            <w:tcW w:w="9628" w:type="dxa"/>
          </w:tcPr>
          <w:p w14:paraId="06AFDC93" w14:textId="77777777" w:rsidR="00B63059" w:rsidRDefault="00B63059" w:rsidP="00B63059">
            <w:pPr>
              <w:jc w:val="both"/>
              <w:rPr>
                <w:color w:val="FF0000"/>
              </w:rPr>
            </w:pPr>
            <w:r w:rsidRPr="00B63059">
              <w:rPr>
                <w:b/>
                <w:i/>
                <w:color w:val="FF0000"/>
              </w:rPr>
              <w:t>Valutazioni che ritenete di fare</w:t>
            </w:r>
            <w:r w:rsidRPr="00B63059">
              <w:rPr>
                <w:color w:val="FF0000"/>
              </w:rPr>
              <w:t>:</w:t>
            </w:r>
            <w:r>
              <w:rPr>
                <w:color w:val="FF0000"/>
              </w:rPr>
              <w:t xml:space="preserve"> </w:t>
            </w:r>
          </w:p>
          <w:p w14:paraId="5C449C48" w14:textId="47FCD0E0" w:rsidR="006120E5" w:rsidRDefault="006120E5" w:rsidP="00B63059">
            <w:pPr>
              <w:jc w:val="both"/>
            </w:pPr>
          </w:p>
        </w:tc>
      </w:tr>
      <w:tr w:rsidR="00B63059" w14:paraId="3F53BD9A" w14:textId="77777777" w:rsidTr="001368DB">
        <w:tc>
          <w:tcPr>
            <w:tcW w:w="9628" w:type="dxa"/>
          </w:tcPr>
          <w:p w14:paraId="265FABEF" w14:textId="77777777" w:rsidR="00B63059" w:rsidRPr="00453F50" w:rsidRDefault="00B63059" w:rsidP="00B63059">
            <w:pPr>
              <w:jc w:val="both"/>
              <w:rPr>
                <w:b/>
                <w:i/>
              </w:rPr>
            </w:pPr>
          </w:p>
        </w:tc>
      </w:tr>
      <w:tr w:rsidR="00B63059" w14:paraId="30657794" w14:textId="77777777" w:rsidTr="001368DB">
        <w:tc>
          <w:tcPr>
            <w:tcW w:w="9628" w:type="dxa"/>
          </w:tcPr>
          <w:p w14:paraId="1E3D4AA6" w14:textId="4F068931" w:rsidR="00B63059" w:rsidRDefault="00B63059" w:rsidP="00B63059">
            <w:pPr>
              <w:jc w:val="both"/>
            </w:pPr>
            <w:r>
              <w:rPr>
                <w:rFonts w:cstheme="minorHAnsi"/>
              </w:rPr>
              <w:t xml:space="preserve">● </w:t>
            </w:r>
            <w:r w:rsidR="005239E6">
              <w:t>P</w:t>
            </w:r>
            <w:r w:rsidRPr="001368DB">
              <w:t>er i CIFM lacustri, le possibili misure di mitigazione presenti nella Tabella 2 (sbarramenti per invasare le acque per uso potabile, irriguo o per la produzione di energia) andrebbero riviste in quanto spesso poco fattibili/attinenti (sarebbe da valutare per i casi specifici) per invasi creati da una diga e con specifici usi in atto (soprattutto se idro-potabile e irriguo, ma anche idroelettrico, per favorire un minore ricorso alle fonti non rinnovabili); attualmente infatti esse indicano il recupero della continuità longitudinale per la fauna ittica e/o una diversa gestione delle modificazioni dei livelli del lago (poco compatibili con gli usi in atto, anche alla luce dei fenomeni siccitosi sempre più presenti);</w:t>
            </w:r>
          </w:p>
        </w:tc>
      </w:tr>
      <w:tr w:rsidR="00B63059" w14:paraId="3F1137C9" w14:textId="77777777" w:rsidTr="001368DB">
        <w:tc>
          <w:tcPr>
            <w:tcW w:w="9628" w:type="dxa"/>
          </w:tcPr>
          <w:p w14:paraId="0F5EB34D" w14:textId="34A7B0F9" w:rsidR="00B63059" w:rsidRDefault="00B63059" w:rsidP="00B63059">
            <w:pPr>
              <w:jc w:val="both"/>
            </w:pPr>
            <w:r w:rsidRPr="00B63059">
              <w:rPr>
                <w:i/>
              </w:rPr>
              <w:t>Valutazioni già emerse durante riunione del 19/6</w:t>
            </w:r>
            <w:r>
              <w:t xml:space="preserve">: </w:t>
            </w:r>
          </w:p>
        </w:tc>
      </w:tr>
      <w:tr w:rsidR="00B63059" w14:paraId="6A894729" w14:textId="77777777" w:rsidTr="001368DB">
        <w:tc>
          <w:tcPr>
            <w:tcW w:w="9628" w:type="dxa"/>
          </w:tcPr>
          <w:p w14:paraId="1F331B6D" w14:textId="77777777" w:rsidR="00B63059" w:rsidRDefault="00B63059" w:rsidP="00B63059">
            <w:pPr>
              <w:jc w:val="both"/>
              <w:rPr>
                <w:color w:val="FF0000"/>
              </w:rPr>
            </w:pPr>
            <w:r w:rsidRPr="00B63059">
              <w:rPr>
                <w:b/>
                <w:i/>
                <w:color w:val="FF0000"/>
              </w:rPr>
              <w:t>Valutazioni che ritenete di fare</w:t>
            </w:r>
            <w:r w:rsidRPr="00B63059">
              <w:rPr>
                <w:color w:val="FF0000"/>
              </w:rPr>
              <w:t>:</w:t>
            </w:r>
            <w:r>
              <w:rPr>
                <w:color w:val="FF0000"/>
              </w:rPr>
              <w:t xml:space="preserve"> </w:t>
            </w:r>
          </w:p>
          <w:p w14:paraId="03D0563E" w14:textId="203D0D69" w:rsidR="006120E5" w:rsidRDefault="006120E5" w:rsidP="00B63059">
            <w:pPr>
              <w:jc w:val="both"/>
            </w:pPr>
          </w:p>
        </w:tc>
      </w:tr>
      <w:tr w:rsidR="00B63059" w14:paraId="247C8B47" w14:textId="77777777" w:rsidTr="001368DB">
        <w:tc>
          <w:tcPr>
            <w:tcW w:w="9628" w:type="dxa"/>
          </w:tcPr>
          <w:p w14:paraId="580DCCF4" w14:textId="77777777" w:rsidR="00B63059" w:rsidRPr="00453F50" w:rsidRDefault="00B63059" w:rsidP="00B63059">
            <w:pPr>
              <w:jc w:val="both"/>
              <w:rPr>
                <w:b/>
                <w:i/>
              </w:rPr>
            </w:pPr>
          </w:p>
        </w:tc>
      </w:tr>
      <w:tr w:rsidR="00B63059" w14:paraId="3FDC4A95" w14:textId="77777777" w:rsidTr="001368DB">
        <w:tc>
          <w:tcPr>
            <w:tcW w:w="9628" w:type="dxa"/>
          </w:tcPr>
          <w:p w14:paraId="2F7BEA67" w14:textId="20AF6AA9" w:rsidR="00B63059" w:rsidRDefault="00B63059" w:rsidP="00B63059">
            <w:pPr>
              <w:jc w:val="both"/>
            </w:pPr>
            <w:r>
              <w:rPr>
                <w:rFonts w:cstheme="minorHAnsi"/>
              </w:rPr>
              <w:t xml:space="preserve">● </w:t>
            </w:r>
            <w:r w:rsidR="005239E6">
              <w:t>P</w:t>
            </w:r>
            <w:r w:rsidRPr="001368DB">
              <w:t>er omogeneità di comportamento, per l’identificazione dei CIA fluviali, oltre alle modalità contenute nel DD/341/STA (allegato Approfondimenti – Parte seconda – Punto A. Individuazione dei tipi di corpi idrici artificiali fluviali) indicate come elencazione dei casi</w:t>
            </w:r>
            <w:r w:rsidR="000C711B">
              <w:t xml:space="preserve"> da identificare, si valuta</w:t>
            </w:r>
            <w:r w:rsidRPr="001368DB">
              <w:t xml:space="preserve"> </w:t>
            </w:r>
            <w:r w:rsidR="000C711B">
              <w:t>l’</w:t>
            </w:r>
            <w:r w:rsidRPr="001368DB">
              <w:t xml:space="preserve">opportuna </w:t>
            </w:r>
            <w:r w:rsidR="000C711B">
              <w:t xml:space="preserve">di </w:t>
            </w:r>
            <w:r w:rsidRPr="001368DB">
              <w:t>una soglia oltre la quale le aste siano sicuramente da considerare, soglia che potrebbe essere assunta oltre gli 80-100 kmq di bacino drenato, eliminando in questo modo anche tutte le aste ad esclusiva/prevalente funzione irrigua;</w:t>
            </w:r>
          </w:p>
        </w:tc>
      </w:tr>
      <w:tr w:rsidR="00B63059" w14:paraId="2D1FA4AE" w14:textId="77777777" w:rsidTr="001368DB">
        <w:tc>
          <w:tcPr>
            <w:tcW w:w="9628" w:type="dxa"/>
          </w:tcPr>
          <w:p w14:paraId="62A51A79" w14:textId="77777777" w:rsidR="00B63059" w:rsidRDefault="00B63059" w:rsidP="00B63059">
            <w:pPr>
              <w:jc w:val="both"/>
            </w:pPr>
            <w:r w:rsidRPr="00B63059">
              <w:rPr>
                <w:i/>
              </w:rPr>
              <w:t>Valutazioni già emerse durante riunione del 19/6</w:t>
            </w:r>
            <w:r>
              <w:t xml:space="preserve">: </w:t>
            </w:r>
          </w:p>
          <w:p w14:paraId="3368E2F2" w14:textId="153AF539" w:rsidR="00DF3B02" w:rsidRDefault="00DF3B02" w:rsidP="00453F50">
            <w:pPr>
              <w:spacing w:after="120"/>
              <w:jc w:val="both"/>
              <w:rPr>
                <w:color w:val="0070C0"/>
              </w:rPr>
            </w:pPr>
            <w:r>
              <w:rPr>
                <w:color w:val="0070C0"/>
              </w:rPr>
              <w:t>(</w:t>
            </w:r>
            <w:proofErr w:type="spellStart"/>
            <w:r>
              <w:rPr>
                <w:color w:val="0070C0"/>
              </w:rPr>
              <w:t>Bussettini</w:t>
            </w:r>
            <w:proofErr w:type="spellEnd"/>
            <w:r>
              <w:rPr>
                <w:color w:val="0070C0"/>
              </w:rPr>
              <w:t>) P</w:t>
            </w:r>
            <w:r w:rsidRPr="00DF3B02">
              <w:rPr>
                <w:color w:val="0070C0"/>
              </w:rPr>
              <w:t>er quanto riguarda i corpi idrici artificiali per la selezione, come indicato dal 341/2016, gli elementi da analizzare sono ben definiti (sovrapposizione ad aree protette e rischio qualitativo sui corpi idrici di valle) e sono quelli da considerare, mentre per i fortemente modificati i corpi idrici debbono essere caratterizzati da modificazioni rilevanti e signific</w:t>
            </w:r>
            <w:r>
              <w:rPr>
                <w:color w:val="0070C0"/>
              </w:rPr>
              <w:t>ative (definite nel D 156/2013).</w:t>
            </w:r>
          </w:p>
          <w:p w14:paraId="7AB86F15" w14:textId="77777777" w:rsidR="00BE7FD4" w:rsidRPr="006120E5" w:rsidRDefault="00BE7FD4" w:rsidP="00B63059">
            <w:pPr>
              <w:jc w:val="both"/>
              <w:rPr>
                <w:color w:val="0070C0"/>
              </w:rPr>
            </w:pPr>
            <w:r w:rsidRPr="006120E5">
              <w:rPr>
                <w:color w:val="0070C0"/>
              </w:rPr>
              <w:t>(Tremolada) Si ritiene che non abbia molto senso proporre una soglia inferiore di superficie per i CIA, essendo sufficientemente validi i criteri stabiliti dal DM 131/2018 e dal DD/341/STA (allegato Approfondimenti – Parte seconda – Punto A. Individuazione dei tipi di corpi idrici artificiali fluviali).</w:t>
            </w:r>
          </w:p>
          <w:p w14:paraId="012615D1" w14:textId="49E7D162" w:rsidR="00574CAB" w:rsidRDefault="00574CAB" w:rsidP="00B63059">
            <w:pPr>
              <w:jc w:val="both"/>
            </w:pPr>
            <w:r w:rsidRPr="006120E5">
              <w:rPr>
                <w:color w:val="0070C0"/>
              </w:rPr>
              <w:t>(Paoli) Soglia sui CIA non opportuna, in Liguria areali drenati solitamente piccoli.</w:t>
            </w:r>
          </w:p>
        </w:tc>
      </w:tr>
      <w:tr w:rsidR="00B63059" w14:paraId="630DC6C2" w14:textId="77777777" w:rsidTr="001368DB">
        <w:tc>
          <w:tcPr>
            <w:tcW w:w="9628" w:type="dxa"/>
          </w:tcPr>
          <w:p w14:paraId="31FD7211" w14:textId="7EB33F19" w:rsidR="00B63059" w:rsidRDefault="00B63059" w:rsidP="00B63059">
            <w:pPr>
              <w:jc w:val="both"/>
            </w:pPr>
            <w:r w:rsidRPr="00B63059">
              <w:rPr>
                <w:b/>
                <w:i/>
                <w:color w:val="FF0000"/>
              </w:rPr>
              <w:t>Valutazioni che ritenete di fare</w:t>
            </w:r>
            <w:r w:rsidRPr="00B63059">
              <w:rPr>
                <w:color w:val="FF0000"/>
              </w:rPr>
              <w:t>:</w:t>
            </w:r>
            <w:r>
              <w:rPr>
                <w:color w:val="FF0000"/>
              </w:rPr>
              <w:t xml:space="preserve"> </w:t>
            </w:r>
          </w:p>
        </w:tc>
      </w:tr>
      <w:tr w:rsidR="00B63059" w14:paraId="442100FB" w14:textId="77777777" w:rsidTr="001368DB">
        <w:tc>
          <w:tcPr>
            <w:tcW w:w="9628" w:type="dxa"/>
          </w:tcPr>
          <w:p w14:paraId="39426B74" w14:textId="77777777" w:rsidR="00B63059" w:rsidRPr="00453F50" w:rsidRDefault="00B63059" w:rsidP="00B63059">
            <w:pPr>
              <w:jc w:val="both"/>
              <w:rPr>
                <w:b/>
                <w:i/>
              </w:rPr>
            </w:pPr>
          </w:p>
        </w:tc>
      </w:tr>
      <w:tr w:rsidR="00B63059" w14:paraId="6243BE8E" w14:textId="77777777" w:rsidTr="001368DB">
        <w:tc>
          <w:tcPr>
            <w:tcW w:w="9628" w:type="dxa"/>
          </w:tcPr>
          <w:p w14:paraId="228EFB19" w14:textId="35E8DF17" w:rsidR="00B63059" w:rsidRDefault="00B63059" w:rsidP="00B63059">
            <w:pPr>
              <w:jc w:val="both"/>
            </w:pPr>
            <w:r>
              <w:rPr>
                <w:rFonts w:cstheme="minorHAnsi"/>
              </w:rPr>
              <w:t xml:space="preserve">● </w:t>
            </w:r>
            <w:r w:rsidR="005239E6">
              <w:t>S</w:t>
            </w:r>
            <w:r w:rsidRPr="001368DB">
              <w:t xml:space="preserve">i ritiene necessaria un’azione di confronto e allineamento sugli obblighi previsti per i CIFM ma soprattutto per i CIA, poiché i concetti legati alle varie fasi valutative (compresa la designazione) e di monitoraggio appaiono ancora poco chiari/condivisi. Questa deve essere un’azione prioritaria, da condurre anche con confronti cadenzati con il MASE (Ministero dell’Ambiente e della Sicurezza Energetica), le </w:t>
            </w:r>
            <w:proofErr w:type="spellStart"/>
            <w:r w:rsidRPr="001368DB">
              <w:t>AdD</w:t>
            </w:r>
            <w:proofErr w:type="spellEnd"/>
            <w:r w:rsidRPr="001368DB">
              <w:t xml:space="preserve"> (Autorità di Distretto) e gli esperti del caso.</w:t>
            </w:r>
          </w:p>
        </w:tc>
      </w:tr>
      <w:tr w:rsidR="00B63059" w14:paraId="74580CD6" w14:textId="77777777" w:rsidTr="001368DB">
        <w:tc>
          <w:tcPr>
            <w:tcW w:w="9628" w:type="dxa"/>
          </w:tcPr>
          <w:p w14:paraId="5BF22A92" w14:textId="0B98E1C5" w:rsidR="00B63059" w:rsidRDefault="00B63059" w:rsidP="00B63059">
            <w:pPr>
              <w:jc w:val="both"/>
            </w:pPr>
            <w:r w:rsidRPr="00B63059">
              <w:rPr>
                <w:i/>
              </w:rPr>
              <w:t>Valutazioni già emerse durante riunione del 19/6</w:t>
            </w:r>
            <w:r>
              <w:t xml:space="preserve">: </w:t>
            </w:r>
          </w:p>
        </w:tc>
      </w:tr>
      <w:tr w:rsidR="00B63059" w14:paraId="5EAA2502" w14:textId="77777777" w:rsidTr="001368DB">
        <w:tc>
          <w:tcPr>
            <w:tcW w:w="9628" w:type="dxa"/>
          </w:tcPr>
          <w:p w14:paraId="28DF725D" w14:textId="77777777" w:rsidR="00B63059" w:rsidRDefault="00B63059" w:rsidP="00B63059">
            <w:pPr>
              <w:jc w:val="both"/>
              <w:rPr>
                <w:color w:val="FF0000"/>
              </w:rPr>
            </w:pPr>
            <w:r w:rsidRPr="00B63059">
              <w:rPr>
                <w:b/>
                <w:i/>
                <w:color w:val="FF0000"/>
              </w:rPr>
              <w:t>Valutazioni che ritenete di fare</w:t>
            </w:r>
            <w:r w:rsidRPr="00B63059">
              <w:rPr>
                <w:color w:val="FF0000"/>
              </w:rPr>
              <w:t>:</w:t>
            </w:r>
            <w:r>
              <w:rPr>
                <w:color w:val="FF0000"/>
              </w:rPr>
              <w:t xml:space="preserve"> </w:t>
            </w:r>
          </w:p>
          <w:p w14:paraId="14ECE216" w14:textId="405AA55A" w:rsidR="006120E5" w:rsidRPr="00B63059" w:rsidRDefault="006120E5" w:rsidP="00B63059">
            <w:pPr>
              <w:jc w:val="both"/>
              <w:rPr>
                <w:i/>
              </w:rPr>
            </w:pPr>
          </w:p>
        </w:tc>
      </w:tr>
      <w:tr w:rsidR="000F4429" w14:paraId="21560DF5" w14:textId="77777777" w:rsidTr="001368DB">
        <w:tc>
          <w:tcPr>
            <w:tcW w:w="9628" w:type="dxa"/>
          </w:tcPr>
          <w:p w14:paraId="1FC69BDC" w14:textId="77777777" w:rsidR="000F4429" w:rsidRPr="000F4429" w:rsidRDefault="000F4429" w:rsidP="00B63059">
            <w:pPr>
              <w:jc w:val="both"/>
            </w:pPr>
          </w:p>
        </w:tc>
      </w:tr>
      <w:tr w:rsidR="000F4429" w14:paraId="02941F98" w14:textId="77777777" w:rsidTr="001368DB">
        <w:tc>
          <w:tcPr>
            <w:tcW w:w="9628" w:type="dxa"/>
          </w:tcPr>
          <w:p w14:paraId="32A517F0" w14:textId="33CF655B" w:rsidR="000F4429" w:rsidRPr="000F4429" w:rsidRDefault="005239E6" w:rsidP="00B63059">
            <w:pPr>
              <w:jc w:val="both"/>
            </w:pPr>
            <w:r w:rsidRPr="005239E6">
              <w:rPr>
                <w:color w:val="00B050"/>
              </w:rPr>
              <w:t>●</w:t>
            </w:r>
            <w:r>
              <w:rPr>
                <w:color w:val="00B050"/>
              </w:rPr>
              <w:t xml:space="preserve"> </w:t>
            </w:r>
            <w:r w:rsidR="000F4429" w:rsidRPr="00C26E8D">
              <w:rPr>
                <w:color w:val="00B050"/>
              </w:rPr>
              <w:t xml:space="preserve">Il PDG-MMI (processo decisionale guidato sulle misure di mitigazione </w:t>
            </w:r>
            <w:proofErr w:type="spellStart"/>
            <w:r w:rsidR="000F4429" w:rsidRPr="00C26E8D">
              <w:rPr>
                <w:color w:val="00B050"/>
              </w:rPr>
              <w:t>idromorfologica</w:t>
            </w:r>
            <w:proofErr w:type="spellEnd"/>
            <w:r w:rsidR="000F4429" w:rsidRPr="00C26E8D">
              <w:rPr>
                <w:color w:val="00B050"/>
              </w:rPr>
              <w:t>) o metodo “Praga” proposto nel DD 341/STA</w:t>
            </w:r>
            <w:r w:rsidR="00E62A14" w:rsidRPr="00C26E8D">
              <w:rPr>
                <w:color w:val="00B050"/>
              </w:rPr>
              <w:t xml:space="preserve"> del 2016 si ritiene accettabile</w:t>
            </w:r>
            <w:r w:rsidR="000F4429" w:rsidRPr="00C26E8D">
              <w:rPr>
                <w:color w:val="00B050"/>
              </w:rPr>
              <w:t xml:space="preserve"> per i CIFM fluviali, mentre per i CIA </w:t>
            </w:r>
            <w:r w:rsidR="00C26E8D">
              <w:rPr>
                <w:color w:val="00B050"/>
              </w:rPr>
              <w:t xml:space="preserve">fluviali </w:t>
            </w:r>
            <w:r w:rsidR="000F4429" w:rsidRPr="00C26E8D">
              <w:rPr>
                <w:color w:val="00B050"/>
              </w:rPr>
              <w:t>sussistono molte perplessità, in particolare per l’applicazione dei criteri di cui alla Tabella 5 dell’Allegato 2 (“Presenza di alterazioni per la regolazione delle acque per drenaggio dei terreni”) che, come attualmente definita, con misure di mitigazione soli</w:t>
            </w:r>
            <w:r w:rsidR="000C711B">
              <w:rPr>
                <w:color w:val="00B050"/>
              </w:rPr>
              <w:t>tamente poco attuabili</w:t>
            </w:r>
            <w:r w:rsidR="000F4429" w:rsidRPr="00C26E8D">
              <w:rPr>
                <w:color w:val="00B050"/>
              </w:rPr>
              <w:t xml:space="preserve"> per q</w:t>
            </w:r>
            <w:r w:rsidR="000C711B">
              <w:rPr>
                <w:color w:val="00B050"/>
              </w:rPr>
              <w:t xml:space="preserve">uesto tipo di aste, porta </w:t>
            </w:r>
            <w:r w:rsidR="000C711B">
              <w:rPr>
                <w:color w:val="00B050"/>
              </w:rPr>
              <w:lastRenderedPageBreak/>
              <w:t>inevit</w:t>
            </w:r>
            <w:r w:rsidR="000F4429" w:rsidRPr="00C26E8D">
              <w:rPr>
                <w:color w:val="00B050"/>
              </w:rPr>
              <w:t xml:space="preserve">abilmente a una valutazione di PES. E’ più credibile affermare che per i CIA </w:t>
            </w:r>
            <w:r w:rsidR="00E62A14" w:rsidRPr="00C26E8D">
              <w:rPr>
                <w:color w:val="00B050"/>
              </w:rPr>
              <w:t>con ri</w:t>
            </w:r>
            <w:r w:rsidR="000C711B">
              <w:rPr>
                <w:color w:val="00B050"/>
              </w:rPr>
              <w:t xml:space="preserve">levante </w:t>
            </w:r>
            <w:proofErr w:type="spellStart"/>
            <w:r w:rsidR="000C711B">
              <w:rPr>
                <w:color w:val="00B050"/>
              </w:rPr>
              <w:t>artificializzazione</w:t>
            </w:r>
            <w:proofErr w:type="spellEnd"/>
            <w:r w:rsidR="000C711B">
              <w:rPr>
                <w:color w:val="00B050"/>
              </w:rPr>
              <w:t xml:space="preserve">, </w:t>
            </w:r>
            <w:r w:rsidR="00E62A14" w:rsidRPr="00C26E8D">
              <w:rPr>
                <w:color w:val="00B050"/>
              </w:rPr>
              <w:t>che risultassero in buono stato ecologico (</w:t>
            </w:r>
            <w:r w:rsidR="00C7737B" w:rsidRPr="00C26E8D">
              <w:rPr>
                <w:color w:val="00B050"/>
              </w:rPr>
              <w:t xml:space="preserve">per </w:t>
            </w:r>
            <w:r w:rsidR="00E62A14" w:rsidRPr="00C26E8D">
              <w:rPr>
                <w:color w:val="00B050"/>
              </w:rPr>
              <w:t xml:space="preserve">LIM-eco e chimico a supporto), </w:t>
            </w:r>
            <w:r w:rsidR="00C7737B" w:rsidRPr="00C26E8D">
              <w:rPr>
                <w:color w:val="00B050"/>
              </w:rPr>
              <w:t xml:space="preserve">ma </w:t>
            </w:r>
            <w:r w:rsidR="00E62A14" w:rsidRPr="00C26E8D">
              <w:rPr>
                <w:color w:val="00B050"/>
              </w:rPr>
              <w:t xml:space="preserve">in </w:t>
            </w:r>
            <w:proofErr w:type="gramStart"/>
            <w:r w:rsidR="00E62A14" w:rsidRPr="00C26E8D">
              <w:rPr>
                <w:color w:val="00B050"/>
              </w:rPr>
              <w:t>assenza</w:t>
            </w:r>
            <w:proofErr w:type="gramEnd"/>
            <w:r w:rsidR="00E62A14" w:rsidRPr="00C26E8D">
              <w:rPr>
                <w:color w:val="00B050"/>
              </w:rPr>
              <w:t xml:space="preserve"> </w:t>
            </w:r>
            <w:r w:rsidR="002F7289">
              <w:rPr>
                <w:color w:val="00B050"/>
              </w:rPr>
              <w:t xml:space="preserve">del monitoraggio </w:t>
            </w:r>
            <w:r w:rsidR="00E62A14" w:rsidRPr="00C26E8D">
              <w:rPr>
                <w:color w:val="00B050"/>
              </w:rPr>
              <w:t>dei più adeguati EQB</w:t>
            </w:r>
            <w:r w:rsidR="00C7737B" w:rsidRPr="00C26E8D">
              <w:rPr>
                <w:color w:val="00B050"/>
              </w:rPr>
              <w:t>,</w:t>
            </w:r>
            <w:r w:rsidR="00E62A14" w:rsidRPr="00C26E8D">
              <w:rPr>
                <w:color w:val="00B050"/>
              </w:rPr>
              <w:t xml:space="preserve"> in presenza </w:t>
            </w:r>
            <w:r w:rsidR="00C7737B" w:rsidRPr="00C26E8D">
              <w:rPr>
                <w:color w:val="00B050"/>
              </w:rPr>
              <w:t xml:space="preserve">però </w:t>
            </w:r>
            <w:r w:rsidR="00E62A14" w:rsidRPr="00C26E8D">
              <w:rPr>
                <w:color w:val="00B050"/>
              </w:rPr>
              <w:t xml:space="preserve">di pressioni morfologiche significative, </w:t>
            </w:r>
            <w:r w:rsidR="00C7737B" w:rsidRPr="00C26E8D">
              <w:rPr>
                <w:color w:val="00B050"/>
              </w:rPr>
              <w:t xml:space="preserve">per giudizio esperto </w:t>
            </w:r>
            <w:r w:rsidR="000C711B">
              <w:rPr>
                <w:color w:val="00B050"/>
              </w:rPr>
              <w:t>assunzione di uno stato</w:t>
            </w:r>
            <w:r w:rsidR="00E62A14" w:rsidRPr="00C26E8D">
              <w:rPr>
                <w:color w:val="00B050"/>
              </w:rPr>
              <w:t xml:space="preserve"> non buono.</w:t>
            </w:r>
          </w:p>
        </w:tc>
      </w:tr>
      <w:tr w:rsidR="005B116F" w14:paraId="221D667C" w14:textId="77777777" w:rsidTr="001368DB">
        <w:tc>
          <w:tcPr>
            <w:tcW w:w="9628" w:type="dxa"/>
          </w:tcPr>
          <w:p w14:paraId="7CFA1C52" w14:textId="31896798" w:rsidR="005B116F" w:rsidRPr="000F4429" w:rsidRDefault="005B116F" w:rsidP="005B116F">
            <w:pPr>
              <w:jc w:val="both"/>
            </w:pPr>
            <w:r w:rsidRPr="00B63059">
              <w:rPr>
                <w:i/>
              </w:rPr>
              <w:lastRenderedPageBreak/>
              <w:t>Valutazioni già emerse durante riunione del 19/6</w:t>
            </w:r>
            <w:r>
              <w:t xml:space="preserve">: </w:t>
            </w:r>
          </w:p>
        </w:tc>
      </w:tr>
      <w:tr w:rsidR="005B116F" w14:paraId="23741557" w14:textId="77777777" w:rsidTr="001368DB">
        <w:tc>
          <w:tcPr>
            <w:tcW w:w="9628" w:type="dxa"/>
          </w:tcPr>
          <w:p w14:paraId="22EE3E79" w14:textId="77777777" w:rsidR="005B116F" w:rsidRDefault="005B116F" w:rsidP="005B116F">
            <w:pPr>
              <w:jc w:val="both"/>
              <w:rPr>
                <w:color w:val="FF0000"/>
              </w:rPr>
            </w:pPr>
            <w:r w:rsidRPr="00B63059">
              <w:rPr>
                <w:b/>
                <w:i/>
                <w:color w:val="FF0000"/>
              </w:rPr>
              <w:t>Valutazioni che ritenete di fare</w:t>
            </w:r>
            <w:r w:rsidRPr="00B63059">
              <w:rPr>
                <w:color w:val="FF0000"/>
              </w:rPr>
              <w:t>:</w:t>
            </w:r>
            <w:r>
              <w:rPr>
                <w:color w:val="FF0000"/>
              </w:rPr>
              <w:t xml:space="preserve"> </w:t>
            </w:r>
          </w:p>
          <w:p w14:paraId="206A2758" w14:textId="7F580769" w:rsidR="006120E5" w:rsidRPr="000F4429" w:rsidRDefault="006120E5" w:rsidP="005B116F">
            <w:pPr>
              <w:jc w:val="both"/>
            </w:pPr>
          </w:p>
        </w:tc>
      </w:tr>
      <w:tr w:rsidR="000F4429" w14:paraId="643F3353" w14:textId="77777777" w:rsidTr="001368DB">
        <w:tc>
          <w:tcPr>
            <w:tcW w:w="9628" w:type="dxa"/>
          </w:tcPr>
          <w:p w14:paraId="778C8109" w14:textId="77777777" w:rsidR="000F4429" w:rsidRPr="000F4429" w:rsidRDefault="000F4429" w:rsidP="00B63059">
            <w:pPr>
              <w:jc w:val="both"/>
            </w:pPr>
          </w:p>
        </w:tc>
      </w:tr>
      <w:tr w:rsidR="000F4429" w14:paraId="3B3E910B" w14:textId="77777777" w:rsidTr="001368DB">
        <w:tc>
          <w:tcPr>
            <w:tcW w:w="9628" w:type="dxa"/>
          </w:tcPr>
          <w:p w14:paraId="5DB31BCE" w14:textId="71AD653B" w:rsidR="000F4429" w:rsidRPr="000F4429" w:rsidRDefault="005239E6" w:rsidP="00B63059">
            <w:pPr>
              <w:jc w:val="both"/>
            </w:pPr>
            <w:r w:rsidRPr="005239E6">
              <w:rPr>
                <w:color w:val="00B050"/>
              </w:rPr>
              <w:t>●</w:t>
            </w:r>
            <w:r>
              <w:rPr>
                <w:color w:val="00B050"/>
              </w:rPr>
              <w:t xml:space="preserve"> </w:t>
            </w:r>
            <w:r w:rsidR="00E62A14" w:rsidRPr="00C26E8D">
              <w:rPr>
                <w:color w:val="00B050"/>
              </w:rPr>
              <w:t>Per i CIA fluviali che abbiano caratteristiche marcatamente arti</w:t>
            </w:r>
            <w:r w:rsidR="004B5789" w:rsidRPr="00C26E8D">
              <w:rPr>
                <w:color w:val="00B050"/>
              </w:rPr>
              <w:t>ficiali, nel caso in cui le</w:t>
            </w:r>
            <w:r w:rsidR="00822806" w:rsidRPr="00C26E8D">
              <w:rPr>
                <w:color w:val="00B050"/>
              </w:rPr>
              <w:t xml:space="preserve"> valutazioni di tipo fisico-chimico</w:t>
            </w:r>
            <w:r w:rsidR="00C26E8D" w:rsidRPr="00C26E8D">
              <w:rPr>
                <w:color w:val="00B050"/>
              </w:rPr>
              <w:t xml:space="preserve"> e chimico già da sole determini</w:t>
            </w:r>
            <w:r w:rsidR="00822806" w:rsidRPr="00C26E8D">
              <w:rPr>
                <w:color w:val="00B050"/>
              </w:rPr>
              <w:t xml:space="preserve">no uno stato/potenziale ecologico minore di buono (per </w:t>
            </w:r>
            <w:proofErr w:type="spellStart"/>
            <w:r w:rsidR="00822806" w:rsidRPr="00C26E8D">
              <w:rPr>
                <w:color w:val="00B050"/>
              </w:rPr>
              <w:t>LIMeco</w:t>
            </w:r>
            <w:proofErr w:type="spellEnd"/>
            <w:r w:rsidR="00822806" w:rsidRPr="00C26E8D">
              <w:rPr>
                <w:color w:val="00B050"/>
              </w:rPr>
              <w:t>, fitofarmaci o altre sostanze chimiche pericolose)</w:t>
            </w:r>
            <w:r w:rsidR="004B5789" w:rsidRPr="00C26E8D">
              <w:rPr>
                <w:color w:val="00B050"/>
              </w:rPr>
              <w:t xml:space="preserve"> si ritengono non necessari i monitoraggi degli EQB, salvo necessità connesse alla sovrapposizione con stazioni della Rete Nitrati</w:t>
            </w:r>
            <w:r w:rsidR="00C26E8D">
              <w:rPr>
                <w:color w:val="00B050"/>
              </w:rPr>
              <w:t>. E per i lacustri</w:t>
            </w:r>
            <w:r w:rsidR="005B116F">
              <w:rPr>
                <w:color w:val="00B050"/>
              </w:rPr>
              <w:t xml:space="preserve"> artificiali</w:t>
            </w:r>
            <w:r w:rsidR="00C26E8D">
              <w:rPr>
                <w:color w:val="00B050"/>
              </w:rPr>
              <w:t>?</w:t>
            </w:r>
          </w:p>
        </w:tc>
      </w:tr>
      <w:tr w:rsidR="005B116F" w14:paraId="1703AFD1" w14:textId="77777777" w:rsidTr="001368DB">
        <w:tc>
          <w:tcPr>
            <w:tcW w:w="9628" w:type="dxa"/>
          </w:tcPr>
          <w:p w14:paraId="53959EEE" w14:textId="77777777" w:rsidR="005B116F" w:rsidRDefault="005B116F" w:rsidP="005B116F">
            <w:pPr>
              <w:jc w:val="both"/>
            </w:pPr>
            <w:r w:rsidRPr="00B63059">
              <w:rPr>
                <w:i/>
              </w:rPr>
              <w:t>Valutazioni già emerse durante riunione del 19/6</w:t>
            </w:r>
            <w:r>
              <w:t xml:space="preserve">: </w:t>
            </w:r>
          </w:p>
          <w:p w14:paraId="157066A0" w14:textId="77777777" w:rsidR="005B116F" w:rsidRPr="006120E5" w:rsidRDefault="005B116F" w:rsidP="005B116F">
            <w:pPr>
              <w:jc w:val="both"/>
              <w:rPr>
                <w:color w:val="0070C0"/>
              </w:rPr>
            </w:pPr>
            <w:r>
              <w:t>(</w:t>
            </w:r>
            <w:proofErr w:type="spellStart"/>
            <w:r w:rsidRPr="006120E5">
              <w:rPr>
                <w:color w:val="0070C0"/>
              </w:rPr>
              <w:t>Tanduo</w:t>
            </w:r>
            <w:proofErr w:type="spellEnd"/>
            <w:r w:rsidRPr="006120E5">
              <w:rPr>
                <w:color w:val="0070C0"/>
              </w:rPr>
              <w:t>) Per quanto riguarda il monitoraggio dei CIA gli EQB vengono previsti per aste con sponde in terra assimilabili a corpi idrici naturali, se sponde artificiali si ritiene di non prevedere la valutazione degli EQB.</w:t>
            </w:r>
          </w:p>
          <w:p w14:paraId="29A8071D" w14:textId="77777777" w:rsidR="005B116F" w:rsidRPr="006120E5" w:rsidRDefault="005B116F" w:rsidP="00453F50">
            <w:pPr>
              <w:spacing w:after="120"/>
              <w:jc w:val="both"/>
              <w:rPr>
                <w:color w:val="0070C0"/>
              </w:rPr>
            </w:pPr>
            <w:r w:rsidRPr="006120E5">
              <w:rPr>
                <w:color w:val="0070C0"/>
              </w:rPr>
              <w:t xml:space="preserve">(Tremolada) Per gli artificiali ok mantenimento degli EQB </w:t>
            </w:r>
            <w:r w:rsidR="00AC4D18" w:rsidRPr="006120E5">
              <w:rPr>
                <w:color w:val="0070C0"/>
              </w:rPr>
              <w:t xml:space="preserve">solo </w:t>
            </w:r>
            <w:r w:rsidRPr="006120E5">
              <w:rPr>
                <w:color w:val="0070C0"/>
              </w:rPr>
              <w:t>se le stazioni appartengono alla Rete Nitrati.</w:t>
            </w:r>
          </w:p>
          <w:p w14:paraId="735ED60C" w14:textId="77777777" w:rsidR="00AC4D18" w:rsidRPr="006120E5" w:rsidRDefault="00AC4D18" w:rsidP="000C711B">
            <w:pPr>
              <w:spacing w:after="120"/>
              <w:jc w:val="both"/>
              <w:rPr>
                <w:color w:val="0070C0"/>
              </w:rPr>
            </w:pPr>
            <w:r w:rsidRPr="006120E5">
              <w:rPr>
                <w:color w:val="0070C0"/>
              </w:rPr>
              <w:t>(Lucchini) Non si sono mai monitorati gli EQB sui CIA ER, di recente introdotte le diatomee bentoniche per parte delle stazioni che fanno parte della Rete Nitrati.</w:t>
            </w:r>
          </w:p>
          <w:p w14:paraId="1B368E74" w14:textId="76DEA4A2" w:rsidR="00AC4D18" w:rsidRPr="000F4429" w:rsidRDefault="00AC4D18" w:rsidP="005B116F">
            <w:pPr>
              <w:jc w:val="both"/>
            </w:pPr>
            <w:r w:rsidRPr="006120E5">
              <w:rPr>
                <w:color w:val="0070C0"/>
              </w:rPr>
              <w:t>(Fiorenza) In Piemonte si è ritenuto che il monitoraggio dei canali non sia rappresentativo ai fini della direttiva nitrati.</w:t>
            </w:r>
          </w:p>
        </w:tc>
      </w:tr>
      <w:tr w:rsidR="005B116F" w14:paraId="7432C365" w14:textId="77777777" w:rsidTr="001368DB">
        <w:tc>
          <w:tcPr>
            <w:tcW w:w="9628" w:type="dxa"/>
          </w:tcPr>
          <w:p w14:paraId="4412DE7D" w14:textId="77777777" w:rsidR="005B116F" w:rsidRDefault="005B116F" w:rsidP="005B116F">
            <w:pPr>
              <w:jc w:val="both"/>
              <w:rPr>
                <w:color w:val="FF0000"/>
              </w:rPr>
            </w:pPr>
            <w:r w:rsidRPr="00B63059">
              <w:rPr>
                <w:b/>
                <w:i/>
                <w:color w:val="FF0000"/>
              </w:rPr>
              <w:t>Valutazioni che ritenete di fare</w:t>
            </w:r>
            <w:r w:rsidRPr="00B63059">
              <w:rPr>
                <w:color w:val="FF0000"/>
              </w:rPr>
              <w:t>:</w:t>
            </w:r>
            <w:r>
              <w:rPr>
                <w:color w:val="FF0000"/>
              </w:rPr>
              <w:t xml:space="preserve"> </w:t>
            </w:r>
          </w:p>
          <w:p w14:paraId="6800726E" w14:textId="6345096A" w:rsidR="006120E5" w:rsidRPr="000F4429" w:rsidRDefault="006120E5" w:rsidP="005B116F">
            <w:pPr>
              <w:jc w:val="both"/>
            </w:pPr>
          </w:p>
        </w:tc>
      </w:tr>
      <w:tr w:rsidR="005B116F" w14:paraId="18AC6471" w14:textId="77777777" w:rsidTr="001368DB">
        <w:tc>
          <w:tcPr>
            <w:tcW w:w="9628" w:type="dxa"/>
          </w:tcPr>
          <w:p w14:paraId="5CA3F2F4" w14:textId="77777777" w:rsidR="005B116F" w:rsidRPr="005B116F" w:rsidRDefault="005B116F" w:rsidP="005B116F">
            <w:pPr>
              <w:jc w:val="both"/>
              <w:rPr>
                <w:b/>
                <w:i/>
              </w:rPr>
            </w:pPr>
          </w:p>
        </w:tc>
      </w:tr>
      <w:tr w:rsidR="000F4429" w14:paraId="00DEC1CF" w14:textId="77777777" w:rsidTr="001368DB">
        <w:tc>
          <w:tcPr>
            <w:tcW w:w="9628" w:type="dxa"/>
          </w:tcPr>
          <w:p w14:paraId="010FEA72" w14:textId="77777777" w:rsidR="000F4429" w:rsidRDefault="008D6220" w:rsidP="00B63059">
            <w:pPr>
              <w:jc w:val="both"/>
            </w:pPr>
            <w:r>
              <w:t>Altre v</w:t>
            </w:r>
            <w:r w:rsidRPr="008D6220">
              <w:t xml:space="preserve">alutazioni già emerse durante </w:t>
            </w:r>
            <w:r>
              <w:t xml:space="preserve">la </w:t>
            </w:r>
            <w:r w:rsidRPr="008D6220">
              <w:t>riunione del 19/6:</w:t>
            </w:r>
          </w:p>
          <w:p w14:paraId="5F488022" w14:textId="77777777" w:rsidR="008D6220" w:rsidRPr="006120E5" w:rsidRDefault="00BE7FD4" w:rsidP="00453F50">
            <w:pPr>
              <w:spacing w:after="120"/>
              <w:jc w:val="both"/>
              <w:rPr>
                <w:color w:val="0070C0"/>
              </w:rPr>
            </w:pPr>
            <w:r w:rsidRPr="00FE1D2E">
              <w:rPr>
                <w:color w:val="0070C0"/>
              </w:rPr>
              <w:t>(Tremolada</w:t>
            </w:r>
            <w:r w:rsidRPr="006120E5">
              <w:rPr>
                <w:color w:val="0070C0"/>
              </w:rPr>
              <w:t>) Occorrerebbe rivedere talune metriche e definire dei criteri oggettivi connessi al monitoraggio e alla classificazione in modo tale che, in presenza di modificazioni idro-morfologiche rilevanti e persistenti, taluni EQB risultino effettivamente in uno stato minore di buono, come ci si aspetterebbe.</w:t>
            </w:r>
          </w:p>
          <w:p w14:paraId="7062297E" w14:textId="55748717" w:rsidR="00E84CF6" w:rsidRPr="000F4429" w:rsidRDefault="00E84CF6" w:rsidP="00B63059">
            <w:pPr>
              <w:jc w:val="both"/>
            </w:pPr>
            <w:r w:rsidRPr="006120E5">
              <w:rPr>
                <w:color w:val="0070C0"/>
              </w:rPr>
              <w:t>(Lucchini) Anche sui CIFM lacustri è da inserire il monitoraggio delle diatomee bentoniche, con gli stessi limiti/coefficienti impiegati per i laghi naturali.</w:t>
            </w:r>
          </w:p>
        </w:tc>
      </w:tr>
      <w:tr w:rsidR="00C26E8D" w14:paraId="448545AF" w14:textId="77777777" w:rsidTr="001368DB">
        <w:tc>
          <w:tcPr>
            <w:tcW w:w="9628" w:type="dxa"/>
          </w:tcPr>
          <w:p w14:paraId="3D92CEC3" w14:textId="77777777" w:rsidR="00C26E8D" w:rsidRDefault="00C26E8D" w:rsidP="00B63059">
            <w:pPr>
              <w:jc w:val="both"/>
              <w:rPr>
                <w:b/>
                <w:color w:val="FF0000"/>
              </w:rPr>
            </w:pPr>
            <w:r w:rsidRPr="008D6220">
              <w:rPr>
                <w:b/>
                <w:color w:val="FF0000"/>
              </w:rPr>
              <w:t>Altre considerazi</w:t>
            </w:r>
            <w:r w:rsidR="008D6220" w:rsidRPr="008D6220">
              <w:rPr>
                <w:b/>
                <w:color w:val="FF0000"/>
              </w:rPr>
              <w:t>oni che ritenete di condividere</w:t>
            </w:r>
            <w:r w:rsidR="008D6220">
              <w:rPr>
                <w:b/>
                <w:color w:val="FF0000"/>
              </w:rPr>
              <w:t>:</w:t>
            </w:r>
          </w:p>
          <w:p w14:paraId="5E24CACF" w14:textId="5AA1D24E" w:rsidR="006120E5" w:rsidRPr="008D6220" w:rsidRDefault="006120E5" w:rsidP="00B63059">
            <w:pPr>
              <w:jc w:val="both"/>
              <w:rPr>
                <w:b/>
              </w:rPr>
            </w:pPr>
          </w:p>
        </w:tc>
      </w:tr>
      <w:tr w:rsidR="00C26E8D" w14:paraId="6B2104CA" w14:textId="77777777" w:rsidTr="001368DB">
        <w:tc>
          <w:tcPr>
            <w:tcW w:w="9628" w:type="dxa"/>
          </w:tcPr>
          <w:p w14:paraId="3791B030" w14:textId="77777777" w:rsidR="00C26E8D" w:rsidRPr="000F4429" w:rsidRDefault="00C26E8D" w:rsidP="00B63059">
            <w:pPr>
              <w:jc w:val="both"/>
            </w:pPr>
          </w:p>
        </w:tc>
      </w:tr>
    </w:tbl>
    <w:p w14:paraId="73F44381" w14:textId="77777777" w:rsidR="001368DB" w:rsidRDefault="001368DB" w:rsidP="00316D66">
      <w:pPr>
        <w:jc w:val="both"/>
      </w:pPr>
    </w:p>
    <w:p w14:paraId="11606134" w14:textId="77777777" w:rsidR="00F808F6" w:rsidRPr="00F808F6" w:rsidRDefault="00F808F6" w:rsidP="00F808F6">
      <w:pPr>
        <w:spacing w:after="120"/>
        <w:jc w:val="both"/>
      </w:pPr>
    </w:p>
    <w:sectPr w:rsidR="00F808F6" w:rsidRPr="00F808F6" w:rsidSect="004E6F7A">
      <w:footerReference w:type="default" r:id="rId8"/>
      <w:pgSz w:w="11906" w:h="16838" w:code="9"/>
      <w:pgMar w:top="1418"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9592" w16cex:dateUtc="2023-05-11T14:25:00Z"/>
  <w16cex:commentExtensible w16cex:durableId="280796BE" w16cex:dateUtc="2023-05-11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6842F" w16cid:durableId="27FDF826"/>
  <w16cid:commentId w16cid:paraId="7ED0DDAA" w16cid:durableId="280621AA"/>
  <w16cid:commentId w16cid:paraId="63BE8324" w16cid:durableId="27FDF828"/>
  <w16cid:commentId w16cid:paraId="128B242C" w16cid:durableId="28079592"/>
  <w16cid:commentId w16cid:paraId="4D8218F3" w16cid:durableId="280796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CB2B2" w14:textId="77777777" w:rsidR="00F07CDA" w:rsidRDefault="00F07CDA" w:rsidP="0025023E">
      <w:pPr>
        <w:spacing w:after="0" w:line="240" w:lineRule="auto"/>
      </w:pPr>
      <w:r>
        <w:separator/>
      </w:r>
    </w:p>
  </w:endnote>
  <w:endnote w:type="continuationSeparator" w:id="0">
    <w:p w14:paraId="595C3224" w14:textId="77777777" w:rsidR="00F07CDA" w:rsidRDefault="00F07CDA" w:rsidP="0025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0402"/>
      <w:docPartObj>
        <w:docPartGallery w:val="Page Numbers (Bottom of Page)"/>
        <w:docPartUnique/>
      </w:docPartObj>
    </w:sdtPr>
    <w:sdtEndPr/>
    <w:sdtContent>
      <w:p w14:paraId="0E8CC073" w14:textId="055E304E" w:rsidR="006F5CC6" w:rsidRDefault="006F5CC6">
        <w:pPr>
          <w:pStyle w:val="Pidipagina"/>
          <w:jc w:val="center"/>
        </w:pPr>
        <w:r>
          <w:fldChar w:fldCharType="begin"/>
        </w:r>
        <w:r>
          <w:instrText>PAGE   \* MERGEFORMAT</w:instrText>
        </w:r>
        <w:r>
          <w:fldChar w:fldCharType="separate"/>
        </w:r>
        <w:r w:rsidR="0058670F">
          <w:rPr>
            <w:noProof/>
          </w:rPr>
          <w:t>5</w:t>
        </w:r>
        <w:r>
          <w:fldChar w:fldCharType="end"/>
        </w:r>
      </w:p>
    </w:sdtContent>
  </w:sdt>
  <w:p w14:paraId="48BFBC37" w14:textId="77777777" w:rsidR="006F5CC6" w:rsidRDefault="006F5C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595E" w14:textId="77777777" w:rsidR="00F07CDA" w:rsidRDefault="00F07CDA" w:rsidP="0025023E">
      <w:pPr>
        <w:spacing w:after="0" w:line="240" w:lineRule="auto"/>
      </w:pPr>
      <w:r>
        <w:separator/>
      </w:r>
    </w:p>
  </w:footnote>
  <w:footnote w:type="continuationSeparator" w:id="0">
    <w:p w14:paraId="3C1BF317" w14:textId="77777777" w:rsidR="00F07CDA" w:rsidRDefault="00F07CDA" w:rsidP="00250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76C"/>
    <w:multiLevelType w:val="hybridMultilevel"/>
    <w:tmpl w:val="F12CC3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8C4B08"/>
    <w:multiLevelType w:val="hybridMultilevel"/>
    <w:tmpl w:val="1D6E8890"/>
    <w:lvl w:ilvl="0" w:tplc="075EF9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87D2FF2"/>
    <w:multiLevelType w:val="hybridMultilevel"/>
    <w:tmpl w:val="21AC15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CD1695"/>
    <w:multiLevelType w:val="hybridMultilevel"/>
    <w:tmpl w:val="ED5226DA"/>
    <w:lvl w:ilvl="0" w:tplc="956481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27170"/>
    <w:multiLevelType w:val="hybridMultilevel"/>
    <w:tmpl w:val="6972D18E"/>
    <w:lvl w:ilvl="0" w:tplc="1CA65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BD17A5"/>
    <w:multiLevelType w:val="hybridMultilevel"/>
    <w:tmpl w:val="D722D896"/>
    <w:lvl w:ilvl="0" w:tplc="A718D32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EA2B5F"/>
    <w:multiLevelType w:val="hybridMultilevel"/>
    <w:tmpl w:val="7A72F2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C17ECC"/>
    <w:multiLevelType w:val="hybridMultilevel"/>
    <w:tmpl w:val="ACB29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4A3438"/>
    <w:multiLevelType w:val="hybridMultilevel"/>
    <w:tmpl w:val="AF4C7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9F7662"/>
    <w:multiLevelType w:val="hybridMultilevel"/>
    <w:tmpl w:val="68727D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1A"/>
    <w:rsid w:val="000002D8"/>
    <w:rsid w:val="00004724"/>
    <w:rsid w:val="000048E9"/>
    <w:rsid w:val="000059D5"/>
    <w:rsid w:val="00007894"/>
    <w:rsid w:val="00007DD3"/>
    <w:rsid w:val="00010AF3"/>
    <w:rsid w:val="0001314F"/>
    <w:rsid w:val="000208AC"/>
    <w:rsid w:val="0002312F"/>
    <w:rsid w:val="0002549B"/>
    <w:rsid w:val="00032997"/>
    <w:rsid w:val="00033B9B"/>
    <w:rsid w:val="00036DC6"/>
    <w:rsid w:val="000448C8"/>
    <w:rsid w:val="00044CB6"/>
    <w:rsid w:val="0005165A"/>
    <w:rsid w:val="0005338D"/>
    <w:rsid w:val="000556C0"/>
    <w:rsid w:val="00056214"/>
    <w:rsid w:val="00057919"/>
    <w:rsid w:val="00091360"/>
    <w:rsid w:val="000926AF"/>
    <w:rsid w:val="00092FDF"/>
    <w:rsid w:val="00095710"/>
    <w:rsid w:val="0009641B"/>
    <w:rsid w:val="00096C0A"/>
    <w:rsid w:val="000A45D9"/>
    <w:rsid w:val="000B0138"/>
    <w:rsid w:val="000C06CE"/>
    <w:rsid w:val="000C2BE0"/>
    <w:rsid w:val="000C58BF"/>
    <w:rsid w:val="000C711B"/>
    <w:rsid w:val="000D3225"/>
    <w:rsid w:val="000D55AE"/>
    <w:rsid w:val="000E45D1"/>
    <w:rsid w:val="000F3D9D"/>
    <w:rsid w:val="000F4209"/>
    <w:rsid w:val="000F4429"/>
    <w:rsid w:val="00105E72"/>
    <w:rsid w:val="00122DDD"/>
    <w:rsid w:val="00122F45"/>
    <w:rsid w:val="00123824"/>
    <w:rsid w:val="0012389D"/>
    <w:rsid w:val="00131612"/>
    <w:rsid w:val="00133329"/>
    <w:rsid w:val="001368DB"/>
    <w:rsid w:val="00137A7C"/>
    <w:rsid w:val="00145E1F"/>
    <w:rsid w:val="00145EEA"/>
    <w:rsid w:val="00150DCE"/>
    <w:rsid w:val="00151540"/>
    <w:rsid w:val="00165FD6"/>
    <w:rsid w:val="00167EDD"/>
    <w:rsid w:val="0018262B"/>
    <w:rsid w:val="00183BA2"/>
    <w:rsid w:val="0018460B"/>
    <w:rsid w:val="00196067"/>
    <w:rsid w:val="001A6B67"/>
    <w:rsid w:val="001B0C89"/>
    <w:rsid w:val="001B40EF"/>
    <w:rsid w:val="001B7093"/>
    <w:rsid w:val="001C0277"/>
    <w:rsid w:val="001C6ABD"/>
    <w:rsid w:val="001C6FC7"/>
    <w:rsid w:val="001D1CF3"/>
    <w:rsid w:val="001D3FCF"/>
    <w:rsid w:val="001D5AEA"/>
    <w:rsid w:val="001E02F6"/>
    <w:rsid w:val="001E2255"/>
    <w:rsid w:val="001E2BB2"/>
    <w:rsid w:val="001E5ABB"/>
    <w:rsid w:val="001E5B35"/>
    <w:rsid w:val="001F1EB2"/>
    <w:rsid w:val="001F2ED5"/>
    <w:rsid w:val="001F5386"/>
    <w:rsid w:val="0020144B"/>
    <w:rsid w:val="002032D2"/>
    <w:rsid w:val="00210EA6"/>
    <w:rsid w:val="002176DA"/>
    <w:rsid w:val="002273CC"/>
    <w:rsid w:val="00232745"/>
    <w:rsid w:val="00241E08"/>
    <w:rsid w:val="00245071"/>
    <w:rsid w:val="00246FA4"/>
    <w:rsid w:val="0025023E"/>
    <w:rsid w:val="00252506"/>
    <w:rsid w:val="002527B3"/>
    <w:rsid w:val="00260A0F"/>
    <w:rsid w:val="002670DE"/>
    <w:rsid w:val="00272A61"/>
    <w:rsid w:val="002A0706"/>
    <w:rsid w:val="002A25B5"/>
    <w:rsid w:val="002B0BD2"/>
    <w:rsid w:val="002B2C1F"/>
    <w:rsid w:val="002B56E2"/>
    <w:rsid w:val="002C484A"/>
    <w:rsid w:val="002C6852"/>
    <w:rsid w:val="002C6EB0"/>
    <w:rsid w:val="002C7ABE"/>
    <w:rsid w:val="002D0245"/>
    <w:rsid w:val="002D1AC8"/>
    <w:rsid w:val="002F5226"/>
    <w:rsid w:val="002F7289"/>
    <w:rsid w:val="00304C9B"/>
    <w:rsid w:val="00312D96"/>
    <w:rsid w:val="00316D66"/>
    <w:rsid w:val="00316D96"/>
    <w:rsid w:val="003356BF"/>
    <w:rsid w:val="00342AAD"/>
    <w:rsid w:val="00346EEF"/>
    <w:rsid w:val="00353231"/>
    <w:rsid w:val="00354677"/>
    <w:rsid w:val="00356538"/>
    <w:rsid w:val="00364478"/>
    <w:rsid w:val="00365FB5"/>
    <w:rsid w:val="00375DEA"/>
    <w:rsid w:val="00376015"/>
    <w:rsid w:val="00380A6A"/>
    <w:rsid w:val="003979C0"/>
    <w:rsid w:val="003A7F28"/>
    <w:rsid w:val="003B4ABC"/>
    <w:rsid w:val="003B7D30"/>
    <w:rsid w:val="003B7E4B"/>
    <w:rsid w:val="003C049F"/>
    <w:rsid w:val="003C0B0B"/>
    <w:rsid w:val="003C6F0A"/>
    <w:rsid w:val="003F271E"/>
    <w:rsid w:val="00402CA4"/>
    <w:rsid w:val="004143CF"/>
    <w:rsid w:val="00416291"/>
    <w:rsid w:val="00420345"/>
    <w:rsid w:val="00424A3C"/>
    <w:rsid w:val="00432FE4"/>
    <w:rsid w:val="00433942"/>
    <w:rsid w:val="00443B97"/>
    <w:rsid w:val="00445ABA"/>
    <w:rsid w:val="004504D5"/>
    <w:rsid w:val="00453F50"/>
    <w:rsid w:val="00456168"/>
    <w:rsid w:val="00456872"/>
    <w:rsid w:val="00456D70"/>
    <w:rsid w:val="00465E82"/>
    <w:rsid w:val="00465FE2"/>
    <w:rsid w:val="00466D69"/>
    <w:rsid w:val="0047072A"/>
    <w:rsid w:val="0047193A"/>
    <w:rsid w:val="0047236E"/>
    <w:rsid w:val="00474C77"/>
    <w:rsid w:val="00474E78"/>
    <w:rsid w:val="00480244"/>
    <w:rsid w:val="004809CA"/>
    <w:rsid w:val="00480ADA"/>
    <w:rsid w:val="004849DA"/>
    <w:rsid w:val="00487833"/>
    <w:rsid w:val="0049013B"/>
    <w:rsid w:val="004902AB"/>
    <w:rsid w:val="004B3273"/>
    <w:rsid w:val="004B3363"/>
    <w:rsid w:val="004B5789"/>
    <w:rsid w:val="004B5C83"/>
    <w:rsid w:val="004C4DA4"/>
    <w:rsid w:val="004C5880"/>
    <w:rsid w:val="004D022B"/>
    <w:rsid w:val="004D2275"/>
    <w:rsid w:val="004D3241"/>
    <w:rsid w:val="004D6A3C"/>
    <w:rsid w:val="004E6F7A"/>
    <w:rsid w:val="004F4DB2"/>
    <w:rsid w:val="00501660"/>
    <w:rsid w:val="00514CC5"/>
    <w:rsid w:val="00515EA8"/>
    <w:rsid w:val="00516F78"/>
    <w:rsid w:val="00522E7C"/>
    <w:rsid w:val="0052347E"/>
    <w:rsid w:val="005239E6"/>
    <w:rsid w:val="00525583"/>
    <w:rsid w:val="0053389F"/>
    <w:rsid w:val="00555CB5"/>
    <w:rsid w:val="00563A9B"/>
    <w:rsid w:val="0057071C"/>
    <w:rsid w:val="005742BC"/>
    <w:rsid w:val="00574CAB"/>
    <w:rsid w:val="0058670F"/>
    <w:rsid w:val="00586D2B"/>
    <w:rsid w:val="00590FC3"/>
    <w:rsid w:val="0059432D"/>
    <w:rsid w:val="005979A4"/>
    <w:rsid w:val="005A63C3"/>
    <w:rsid w:val="005B0D03"/>
    <w:rsid w:val="005B116F"/>
    <w:rsid w:val="005B6CBF"/>
    <w:rsid w:val="005C4B7F"/>
    <w:rsid w:val="005C62E6"/>
    <w:rsid w:val="005D14E7"/>
    <w:rsid w:val="005D196F"/>
    <w:rsid w:val="005D2508"/>
    <w:rsid w:val="005D46EE"/>
    <w:rsid w:val="005E6DDD"/>
    <w:rsid w:val="006026FF"/>
    <w:rsid w:val="00604AA2"/>
    <w:rsid w:val="0060780E"/>
    <w:rsid w:val="00607DD3"/>
    <w:rsid w:val="006120E5"/>
    <w:rsid w:val="0062749B"/>
    <w:rsid w:val="006301CC"/>
    <w:rsid w:val="006358C3"/>
    <w:rsid w:val="006359B5"/>
    <w:rsid w:val="00636713"/>
    <w:rsid w:val="006413E3"/>
    <w:rsid w:val="00647A58"/>
    <w:rsid w:val="0065016A"/>
    <w:rsid w:val="006522BB"/>
    <w:rsid w:val="00653FEC"/>
    <w:rsid w:val="00655C45"/>
    <w:rsid w:val="0066278C"/>
    <w:rsid w:val="006665AC"/>
    <w:rsid w:val="006674AC"/>
    <w:rsid w:val="00670D98"/>
    <w:rsid w:val="006729A0"/>
    <w:rsid w:val="00673DE8"/>
    <w:rsid w:val="00674D62"/>
    <w:rsid w:val="0068614A"/>
    <w:rsid w:val="00686F5D"/>
    <w:rsid w:val="006A0648"/>
    <w:rsid w:val="006A12A7"/>
    <w:rsid w:val="006A2C7F"/>
    <w:rsid w:val="006A4305"/>
    <w:rsid w:val="006C5482"/>
    <w:rsid w:val="006D3D5F"/>
    <w:rsid w:val="006D45BD"/>
    <w:rsid w:val="006D5C95"/>
    <w:rsid w:val="006D73F0"/>
    <w:rsid w:val="006E5265"/>
    <w:rsid w:val="006F04BA"/>
    <w:rsid w:val="006F5CC6"/>
    <w:rsid w:val="006F768F"/>
    <w:rsid w:val="007113BB"/>
    <w:rsid w:val="00720667"/>
    <w:rsid w:val="00724BCA"/>
    <w:rsid w:val="00730805"/>
    <w:rsid w:val="007536BD"/>
    <w:rsid w:val="00763EFF"/>
    <w:rsid w:val="0076437B"/>
    <w:rsid w:val="0076447E"/>
    <w:rsid w:val="00771051"/>
    <w:rsid w:val="00777B60"/>
    <w:rsid w:val="00780586"/>
    <w:rsid w:val="007911B3"/>
    <w:rsid w:val="0079648E"/>
    <w:rsid w:val="007A77C9"/>
    <w:rsid w:val="007B17F7"/>
    <w:rsid w:val="007B19BC"/>
    <w:rsid w:val="007B4223"/>
    <w:rsid w:val="007B4B9B"/>
    <w:rsid w:val="007B5196"/>
    <w:rsid w:val="007B5CEF"/>
    <w:rsid w:val="007C4859"/>
    <w:rsid w:val="007C53A4"/>
    <w:rsid w:val="007C750B"/>
    <w:rsid w:val="007D39D3"/>
    <w:rsid w:val="007D40D9"/>
    <w:rsid w:val="007F38CA"/>
    <w:rsid w:val="007F5984"/>
    <w:rsid w:val="00800235"/>
    <w:rsid w:val="00803FE9"/>
    <w:rsid w:val="00804EA6"/>
    <w:rsid w:val="00814332"/>
    <w:rsid w:val="0082015F"/>
    <w:rsid w:val="0082163C"/>
    <w:rsid w:val="00821E62"/>
    <w:rsid w:val="00822806"/>
    <w:rsid w:val="008300F3"/>
    <w:rsid w:val="00833E62"/>
    <w:rsid w:val="00840271"/>
    <w:rsid w:val="0084059A"/>
    <w:rsid w:val="00842CB7"/>
    <w:rsid w:val="00843A4C"/>
    <w:rsid w:val="00846BE6"/>
    <w:rsid w:val="00851AFF"/>
    <w:rsid w:val="00853C2F"/>
    <w:rsid w:val="00866353"/>
    <w:rsid w:val="0087128C"/>
    <w:rsid w:val="00871E16"/>
    <w:rsid w:val="008726FE"/>
    <w:rsid w:val="00872C1B"/>
    <w:rsid w:val="00873E26"/>
    <w:rsid w:val="00885D7A"/>
    <w:rsid w:val="008873F5"/>
    <w:rsid w:val="00887CBD"/>
    <w:rsid w:val="008936AA"/>
    <w:rsid w:val="008941B7"/>
    <w:rsid w:val="00894F56"/>
    <w:rsid w:val="00895A73"/>
    <w:rsid w:val="008A01F3"/>
    <w:rsid w:val="008A1BC4"/>
    <w:rsid w:val="008B1ACC"/>
    <w:rsid w:val="008C16B2"/>
    <w:rsid w:val="008C3D2E"/>
    <w:rsid w:val="008C6A6F"/>
    <w:rsid w:val="008C7625"/>
    <w:rsid w:val="008C7980"/>
    <w:rsid w:val="008D6220"/>
    <w:rsid w:val="008E5CA7"/>
    <w:rsid w:val="008F675A"/>
    <w:rsid w:val="008F7952"/>
    <w:rsid w:val="00903141"/>
    <w:rsid w:val="00913F18"/>
    <w:rsid w:val="00927961"/>
    <w:rsid w:val="0093159F"/>
    <w:rsid w:val="0094364C"/>
    <w:rsid w:val="009529B5"/>
    <w:rsid w:val="00967C85"/>
    <w:rsid w:val="009773CA"/>
    <w:rsid w:val="00996719"/>
    <w:rsid w:val="00997F52"/>
    <w:rsid w:val="009A7B74"/>
    <w:rsid w:val="009C2285"/>
    <w:rsid w:val="009D0EB8"/>
    <w:rsid w:val="009D2F0A"/>
    <w:rsid w:val="009D4A97"/>
    <w:rsid w:val="009E0D5C"/>
    <w:rsid w:val="009F108A"/>
    <w:rsid w:val="009F7BA4"/>
    <w:rsid w:val="00A13512"/>
    <w:rsid w:val="00A13D96"/>
    <w:rsid w:val="00A15CD0"/>
    <w:rsid w:val="00A2146C"/>
    <w:rsid w:val="00A269AD"/>
    <w:rsid w:val="00A3453B"/>
    <w:rsid w:val="00A4072A"/>
    <w:rsid w:val="00A41A75"/>
    <w:rsid w:val="00A42077"/>
    <w:rsid w:val="00A43E4C"/>
    <w:rsid w:val="00A5158C"/>
    <w:rsid w:val="00A54B1F"/>
    <w:rsid w:val="00A61615"/>
    <w:rsid w:val="00A73330"/>
    <w:rsid w:val="00A743C7"/>
    <w:rsid w:val="00A7518A"/>
    <w:rsid w:val="00A91FDE"/>
    <w:rsid w:val="00A928B3"/>
    <w:rsid w:val="00A9524A"/>
    <w:rsid w:val="00AA39D1"/>
    <w:rsid w:val="00AC423B"/>
    <w:rsid w:val="00AC4D18"/>
    <w:rsid w:val="00AC71CC"/>
    <w:rsid w:val="00AD2E96"/>
    <w:rsid w:val="00AD39FE"/>
    <w:rsid w:val="00AE42FA"/>
    <w:rsid w:val="00AE6F02"/>
    <w:rsid w:val="00AF66A6"/>
    <w:rsid w:val="00AF7630"/>
    <w:rsid w:val="00B000F6"/>
    <w:rsid w:val="00B05B95"/>
    <w:rsid w:val="00B156F0"/>
    <w:rsid w:val="00B24F07"/>
    <w:rsid w:val="00B3188A"/>
    <w:rsid w:val="00B42281"/>
    <w:rsid w:val="00B42FC7"/>
    <w:rsid w:val="00B4480B"/>
    <w:rsid w:val="00B50518"/>
    <w:rsid w:val="00B51100"/>
    <w:rsid w:val="00B515F5"/>
    <w:rsid w:val="00B51910"/>
    <w:rsid w:val="00B5324A"/>
    <w:rsid w:val="00B549AC"/>
    <w:rsid w:val="00B5742F"/>
    <w:rsid w:val="00B63059"/>
    <w:rsid w:val="00B64601"/>
    <w:rsid w:val="00B65C45"/>
    <w:rsid w:val="00B704B6"/>
    <w:rsid w:val="00B80C8E"/>
    <w:rsid w:val="00B83550"/>
    <w:rsid w:val="00B84FC2"/>
    <w:rsid w:val="00BB08E0"/>
    <w:rsid w:val="00BB64D6"/>
    <w:rsid w:val="00BD2B07"/>
    <w:rsid w:val="00BD5A38"/>
    <w:rsid w:val="00BD76B5"/>
    <w:rsid w:val="00BE0AAC"/>
    <w:rsid w:val="00BE0ED6"/>
    <w:rsid w:val="00BE1CEA"/>
    <w:rsid w:val="00BE1E7E"/>
    <w:rsid w:val="00BE34E7"/>
    <w:rsid w:val="00BE351B"/>
    <w:rsid w:val="00BE4E1A"/>
    <w:rsid w:val="00BE791B"/>
    <w:rsid w:val="00BE7FD4"/>
    <w:rsid w:val="00BF4EAA"/>
    <w:rsid w:val="00C00CA1"/>
    <w:rsid w:val="00C0286D"/>
    <w:rsid w:val="00C03385"/>
    <w:rsid w:val="00C06ECA"/>
    <w:rsid w:val="00C0703E"/>
    <w:rsid w:val="00C140E9"/>
    <w:rsid w:val="00C2149A"/>
    <w:rsid w:val="00C241F0"/>
    <w:rsid w:val="00C25CED"/>
    <w:rsid w:val="00C25CFD"/>
    <w:rsid w:val="00C26E8D"/>
    <w:rsid w:val="00C47BC8"/>
    <w:rsid w:val="00C506AF"/>
    <w:rsid w:val="00C507B1"/>
    <w:rsid w:val="00C54235"/>
    <w:rsid w:val="00C57DEA"/>
    <w:rsid w:val="00C61418"/>
    <w:rsid w:val="00C754AB"/>
    <w:rsid w:val="00C7737B"/>
    <w:rsid w:val="00C8100B"/>
    <w:rsid w:val="00C82937"/>
    <w:rsid w:val="00C8329F"/>
    <w:rsid w:val="00C8440C"/>
    <w:rsid w:val="00C85437"/>
    <w:rsid w:val="00C86CFF"/>
    <w:rsid w:val="00C9334F"/>
    <w:rsid w:val="00C97A16"/>
    <w:rsid w:val="00CA1067"/>
    <w:rsid w:val="00CA315B"/>
    <w:rsid w:val="00CB4797"/>
    <w:rsid w:val="00CC4159"/>
    <w:rsid w:val="00CC4A84"/>
    <w:rsid w:val="00CC6084"/>
    <w:rsid w:val="00CC63D8"/>
    <w:rsid w:val="00CC69E9"/>
    <w:rsid w:val="00CD7895"/>
    <w:rsid w:val="00CE4C47"/>
    <w:rsid w:val="00CE6710"/>
    <w:rsid w:val="00CE77FB"/>
    <w:rsid w:val="00CF24EE"/>
    <w:rsid w:val="00CF6C40"/>
    <w:rsid w:val="00D02090"/>
    <w:rsid w:val="00D02B5B"/>
    <w:rsid w:val="00D0306D"/>
    <w:rsid w:val="00D04503"/>
    <w:rsid w:val="00D049D7"/>
    <w:rsid w:val="00D141BC"/>
    <w:rsid w:val="00D16FBE"/>
    <w:rsid w:val="00D24B34"/>
    <w:rsid w:val="00D26347"/>
    <w:rsid w:val="00D3277F"/>
    <w:rsid w:val="00D35BEE"/>
    <w:rsid w:val="00D3711A"/>
    <w:rsid w:val="00D55799"/>
    <w:rsid w:val="00D64C3B"/>
    <w:rsid w:val="00D64DC0"/>
    <w:rsid w:val="00D7673A"/>
    <w:rsid w:val="00D80582"/>
    <w:rsid w:val="00D85DEB"/>
    <w:rsid w:val="00D862C9"/>
    <w:rsid w:val="00D912D6"/>
    <w:rsid w:val="00D935E9"/>
    <w:rsid w:val="00D974F8"/>
    <w:rsid w:val="00DA76A7"/>
    <w:rsid w:val="00DA7A0B"/>
    <w:rsid w:val="00DB0381"/>
    <w:rsid w:val="00DB57F9"/>
    <w:rsid w:val="00DB5B7C"/>
    <w:rsid w:val="00DC1094"/>
    <w:rsid w:val="00DD0DD0"/>
    <w:rsid w:val="00DD3959"/>
    <w:rsid w:val="00DD7FB5"/>
    <w:rsid w:val="00DF0D3A"/>
    <w:rsid w:val="00DF368E"/>
    <w:rsid w:val="00DF3B02"/>
    <w:rsid w:val="00DF5578"/>
    <w:rsid w:val="00DF5B1D"/>
    <w:rsid w:val="00E011F7"/>
    <w:rsid w:val="00E01518"/>
    <w:rsid w:val="00E02DDA"/>
    <w:rsid w:val="00E03CAC"/>
    <w:rsid w:val="00E051F0"/>
    <w:rsid w:val="00E10F91"/>
    <w:rsid w:val="00E22996"/>
    <w:rsid w:val="00E23385"/>
    <w:rsid w:val="00E2750B"/>
    <w:rsid w:val="00E314C2"/>
    <w:rsid w:val="00E36EC1"/>
    <w:rsid w:val="00E437DC"/>
    <w:rsid w:val="00E62342"/>
    <w:rsid w:val="00E62A14"/>
    <w:rsid w:val="00E70951"/>
    <w:rsid w:val="00E77877"/>
    <w:rsid w:val="00E825F0"/>
    <w:rsid w:val="00E84CF6"/>
    <w:rsid w:val="00E85C03"/>
    <w:rsid w:val="00E90EFE"/>
    <w:rsid w:val="00E92474"/>
    <w:rsid w:val="00E96F3D"/>
    <w:rsid w:val="00EC717D"/>
    <w:rsid w:val="00ED5FC7"/>
    <w:rsid w:val="00ED7612"/>
    <w:rsid w:val="00EE1852"/>
    <w:rsid w:val="00EF4AC3"/>
    <w:rsid w:val="00EF5391"/>
    <w:rsid w:val="00F07CDA"/>
    <w:rsid w:val="00F248CE"/>
    <w:rsid w:val="00F26E04"/>
    <w:rsid w:val="00F31D0F"/>
    <w:rsid w:val="00F352E2"/>
    <w:rsid w:val="00F405EF"/>
    <w:rsid w:val="00F4637A"/>
    <w:rsid w:val="00F52A0D"/>
    <w:rsid w:val="00F53BA3"/>
    <w:rsid w:val="00F65A5C"/>
    <w:rsid w:val="00F700F2"/>
    <w:rsid w:val="00F70C7B"/>
    <w:rsid w:val="00F808F6"/>
    <w:rsid w:val="00F83FE7"/>
    <w:rsid w:val="00F842CF"/>
    <w:rsid w:val="00F87840"/>
    <w:rsid w:val="00F94847"/>
    <w:rsid w:val="00F94A88"/>
    <w:rsid w:val="00F95B7E"/>
    <w:rsid w:val="00FC2872"/>
    <w:rsid w:val="00FC3D6B"/>
    <w:rsid w:val="00FD2167"/>
    <w:rsid w:val="00FD6674"/>
    <w:rsid w:val="00FE1882"/>
    <w:rsid w:val="00FE1D2E"/>
    <w:rsid w:val="00FF0142"/>
    <w:rsid w:val="00FF0CDC"/>
    <w:rsid w:val="00FF3AEC"/>
    <w:rsid w:val="00FF46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CD458"/>
  <w15:docId w15:val="{A4390752-ACC6-AB47-AAA5-6B521D5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6D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1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168"/>
    <w:rPr>
      <w:rFonts w:ascii="Segoe UI" w:hAnsi="Segoe UI" w:cs="Segoe UI"/>
      <w:sz w:val="18"/>
      <w:szCs w:val="18"/>
    </w:rPr>
  </w:style>
  <w:style w:type="paragraph" w:styleId="Intestazione">
    <w:name w:val="header"/>
    <w:basedOn w:val="Normale"/>
    <w:link w:val="IntestazioneCarattere"/>
    <w:uiPriority w:val="99"/>
    <w:unhideWhenUsed/>
    <w:rsid w:val="002502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23E"/>
  </w:style>
  <w:style w:type="paragraph" w:styleId="Pidipagina">
    <w:name w:val="footer"/>
    <w:basedOn w:val="Normale"/>
    <w:link w:val="PidipaginaCarattere"/>
    <w:uiPriority w:val="99"/>
    <w:unhideWhenUsed/>
    <w:rsid w:val="002502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23E"/>
  </w:style>
  <w:style w:type="paragraph" w:styleId="Paragrafoelenco">
    <w:name w:val="List Paragraph"/>
    <w:basedOn w:val="Normale"/>
    <w:uiPriority w:val="34"/>
    <w:qFormat/>
    <w:rsid w:val="007D40D9"/>
    <w:pPr>
      <w:ind w:left="720"/>
      <w:contextualSpacing/>
    </w:pPr>
  </w:style>
  <w:style w:type="table" w:styleId="Grigliatabella">
    <w:name w:val="Table Grid"/>
    <w:basedOn w:val="Tabellanormale"/>
    <w:uiPriority w:val="39"/>
    <w:rsid w:val="004E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80C8E"/>
    <w:rPr>
      <w:sz w:val="18"/>
      <w:szCs w:val="18"/>
    </w:rPr>
  </w:style>
  <w:style w:type="paragraph" w:styleId="Testocommento">
    <w:name w:val="annotation text"/>
    <w:basedOn w:val="Normale"/>
    <w:link w:val="TestocommentoCarattere"/>
    <w:uiPriority w:val="99"/>
    <w:semiHidden/>
    <w:unhideWhenUsed/>
    <w:rsid w:val="00B80C8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B80C8E"/>
    <w:rPr>
      <w:sz w:val="24"/>
      <w:szCs w:val="24"/>
    </w:rPr>
  </w:style>
  <w:style w:type="paragraph" w:styleId="Soggettocommento">
    <w:name w:val="annotation subject"/>
    <w:basedOn w:val="Testocommento"/>
    <w:next w:val="Testocommento"/>
    <w:link w:val="SoggettocommentoCarattere"/>
    <w:uiPriority w:val="99"/>
    <w:semiHidden/>
    <w:unhideWhenUsed/>
    <w:rsid w:val="00B80C8E"/>
    <w:rPr>
      <w:b/>
      <w:bCs/>
      <w:sz w:val="20"/>
      <w:szCs w:val="20"/>
    </w:rPr>
  </w:style>
  <w:style w:type="character" w:customStyle="1" w:styleId="SoggettocommentoCarattere">
    <w:name w:val="Soggetto commento Carattere"/>
    <w:basedOn w:val="TestocommentoCarattere"/>
    <w:link w:val="Soggettocommento"/>
    <w:uiPriority w:val="99"/>
    <w:semiHidden/>
    <w:rsid w:val="00B80C8E"/>
    <w:rPr>
      <w:b/>
      <w:bCs/>
      <w:sz w:val="20"/>
      <w:szCs w:val="20"/>
    </w:rPr>
  </w:style>
  <w:style w:type="paragraph" w:styleId="Revisione">
    <w:name w:val="Revision"/>
    <w:hidden/>
    <w:uiPriority w:val="99"/>
    <w:semiHidden/>
    <w:rsid w:val="00133329"/>
    <w:pPr>
      <w:spacing w:after="0" w:line="240" w:lineRule="auto"/>
    </w:pPr>
  </w:style>
  <w:style w:type="character" w:styleId="Collegamentoipertestuale">
    <w:name w:val="Hyperlink"/>
    <w:basedOn w:val="Carpredefinitoparagrafo"/>
    <w:uiPriority w:val="99"/>
    <w:unhideWhenUsed/>
    <w:rsid w:val="00D02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0681">
      <w:bodyDiv w:val="1"/>
      <w:marLeft w:val="0"/>
      <w:marRight w:val="0"/>
      <w:marTop w:val="0"/>
      <w:marBottom w:val="0"/>
      <w:divBdr>
        <w:top w:val="none" w:sz="0" w:space="0" w:color="auto"/>
        <w:left w:val="none" w:sz="0" w:space="0" w:color="auto"/>
        <w:bottom w:val="none" w:sz="0" w:space="0" w:color="auto"/>
        <w:right w:val="none" w:sz="0" w:space="0" w:color="auto"/>
      </w:divBdr>
    </w:div>
    <w:div w:id="1888713052">
      <w:bodyDiv w:val="1"/>
      <w:marLeft w:val="0"/>
      <w:marRight w:val="0"/>
      <w:marTop w:val="0"/>
      <w:marBottom w:val="0"/>
      <w:divBdr>
        <w:top w:val="none" w:sz="0" w:space="0" w:color="auto"/>
        <w:left w:val="none" w:sz="0" w:space="0" w:color="auto"/>
        <w:bottom w:val="none" w:sz="0" w:space="0" w:color="auto"/>
        <w:right w:val="none" w:sz="0" w:space="0" w:color="auto"/>
      </w:divBdr>
      <w:divsChild>
        <w:div w:id="1255213566">
          <w:marLeft w:val="0"/>
          <w:marRight w:val="0"/>
          <w:marTop w:val="0"/>
          <w:marBottom w:val="0"/>
          <w:divBdr>
            <w:top w:val="none" w:sz="0" w:space="0" w:color="auto"/>
            <w:left w:val="none" w:sz="0" w:space="0" w:color="auto"/>
            <w:bottom w:val="none" w:sz="0" w:space="0" w:color="auto"/>
            <w:right w:val="none" w:sz="0" w:space="0" w:color="auto"/>
          </w:divBdr>
          <w:divsChild>
            <w:div w:id="746224270">
              <w:marLeft w:val="0"/>
              <w:marRight w:val="0"/>
              <w:marTop w:val="0"/>
              <w:marBottom w:val="0"/>
              <w:divBdr>
                <w:top w:val="none" w:sz="0" w:space="0" w:color="auto"/>
                <w:left w:val="none" w:sz="0" w:space="0" w:color="auto"/>
                <w:bottom w:val="none" w:sz="0" w:space="0" w:color="auto"/>
                <w:right w:val="none" w:sz="0" w:space="0" w:color="auto"/>
              </w:divBdr>
              <w:divsChild>
                <w:div w:id="6715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5</Pages>
  <Words>2659</Words>
  <Characters>15157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Spezzani</dc:creator>
  <cp:keywords/>
  <dc:description/>
  <cp:lastModifiedBy>Paolo Spezzani</cp:lastModifiedBy>
  <cp:revision>59</cp:revision>
  <cp:lastPrinted>2022-11-08T14:09:00Z</cp:lastPrinted>
  <dcterms:created xsi:type="dcterms:W3CDTF">2023-05-04T08:42:00Z</dcterms:created>
  <dcterms:modified xsi:type="dcterms:W3CDTF">2023-07-03T06:08:00Z</dcterms:modified>
</cp:coreProperties>
</file>