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4E6F7A" w14:paraId="0735648F" w14:textId="77777777" w:rsidTr="004E6F7A">
        <w:tc>
          <w:tcPr>
            <w:tcW w:w="2835" w:type="dxa"/>
            <w:vAlign w:val="center"/>
          </w:tcPr>
          <w:p w14:paraId="78814403" w14:textId="77777777" w:rsidR="004E6F7A" w:rsidRDefault="004E6F7A" w:rsidP="004E6F7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4E18227" wp14:editId="3A4AF6A6">
                  <wp:extent cx="1268095" cy="835025"/>
                  <wp:effectExtent l="0" t="0" r="8255" b="317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3" w:type="dxa"/>
            <w:vAlign w:val="center"/>
          </w:tcPr>
          <w:p w14:paraId="121B0C9F" w14:textId="77777777" w:rsidR="004E6F7A" w:rsidRPr="004E6F7A" w:rsidRDefault="004E6F7A" w:rsidP="004E6F7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Linea di attività RR-TEM 09-01</w:t>
            </w:r>
          </w:p>
          <w:p w14:paraId="32BFE809" w14:textId="77777777" w:rsidR="004E6F7A" w:rsidRDefault="004E6F7A" w:rsidP="004E6F7A">
            <w:pPr>
              <w:jc w:val="center"/>
              <w:rPr>
                <w:b/>
                <w:sz w:val="28"/>
                <w:szCs w:val="28"/>
              </w:rPr>
            </w:pPr>
            <w:r w:rsidRPr="004E6F7A">
              <w:rPr>
                <w:b/>
                <w:color w:val="0070C0"/>
                <w:sz w:val="28"/>
                <w:szCs w:val="28"/>
              </w:rPr>
              <w:t>Applicazione Direttiva Acque</w:t>
            </w:r>
          </w:p>
        </w:tc>
      </w:tr>
      <w:tr w:rsidR="004E6F7A" w14:paraId="29C0361E" w14:textId="77777777" w:rsidTr="004E6F7A">
        <w:tc>
          <w:tcPr>
            <w:tcW w:w="2835" w:type="dxa"/>
            <w:vAlign w:val="center"/>
          </w:tcPr>
          <w:p w14:paraId="265F79C6" w14:textId="56578D4E" w:rsidR="004E6F7A" w:rsidRPr="003F271E" w:rsidRDefault="00A16C37" w:rsidP="004E6F7A">
            <w:pPr>
              <w:jc w:val="center"/>
              <w:rPr>
                <w:i/>
              </w:rPr>
            </w:pPr>
            <w:r>
              <w:rPr>
                <w:i/>
              </w:rPr>
              <w:t>19/6/2023</w:t>
            </w:r>
          </w:p>
        </w:tc>
        <w:tc>
          <w:tcPr>
            <w:tcW w:w="6793" w:type="dxa"/>
            <w:vAlign w:val="center"/>
          </w:tcPr>
          <w:p w14:paraId="37CF60C5" w14:textId="77777777" w:rsidR="004E6F7A" w:rsidRPr="004E6F7A" w:rsidRDefault="004E6F7A" w:rsidP="004E6F7A">
            <w:pPr>
              <w:jc w:val="center"/>
              <w:rPr>
                <w:b/>
                <w:i/>
                <w:sz w:val="28"/>
                <w:szCs w:val="28"/>
              </w:rPr>
            </w:pPr>
            <w:r w:rsidRPr="002273CC">
              <w:rPr>
                <w:b/>
                <w:i/>
                <w:sz w:val="28"/>
                <w:szCs w:val="28"/>
              </w:rPr>
              <w:t>Sub-tematica C3</w:t>
            </w:r>
          </w:p>
        </w:tc>
      </w:tr>
    </w:tbl>
    <w:p w14:paraId="4DE8DA7D" w14:textId="77777777" w:rsidR="004E6F7A" w:rsidRPr="003F271E" w:rsidRDefault="004E6F7A" w:rsidP="0087128C">
      <w:pPr>
        <w:jc w:val="center"/>
        <w:rPr>
          <w:b/>
        </w:rPr>
      </w:pPr>
    </w:p>
    <w:p w14:paraId="7912D316" w14:textId="77777777" w:rsidR="0087128C" w:rsidRPr="00FC0F5D" w:rsidRDefault="0087128C" w:rsidP="003F271E">
      <w:pPr>
        <w:spacing w:after="0"/>
        <w:rPr>
          <w:b/>
          <w:i/>
          <w:sz w:val="24"/>
          <w:szCs w:val="24"/>
        </w:rPr>
      </w:pPr>
      <w:r w:rsidRPr="00FC0F5D">
        <w:rPr>
          <w:b/>
          <w:i/>
          <w:sz w:val="24"/>
          <w:szCs w:val="24"/>
        </w:rPr>
        <w:t>Chiarimenti sulla procedura di classificazione dei CIFM e CIA</w:t>
      </w:r>
    </w:p>
    <w:p w14:paraId="6238DF7D" w14:textId="77777777" w:rsidR="0087128C" w:rsidRDefault="0087128C"/>
    <w:p w14:paraId="3AE298D9" w14:textId="791B7695" w:rsidR="00306909" w:rsidRDefault="00BE217C">
      <w:r w:rsidRPr="00FC0F5D">
        <w:rPr>
          <w:b/>
          <w:u w:val="single"/>
        </w:rPr>
        <w:t>V</w:t>
      </w:r>
      <w:r w:rsidR="00D30A78" w:rsidRPr="00FC0F5D">
        <w:rPr>
          <w:b/>
          <w:u w:val="single"/>
        </w:rPr>
        <w:t>erbale</w:t>
      </w:r>
      <w:r w:rsidRPr="00FC0F5D">
        <w:rPr>
          <w:b/>
          <w:u w:val="single"/>
        </w:rPr>
        <w:t xml:space="preserve"> sintetico</w:t>
      </w:r>
      <w:r w:rsidR="00FF24D7">
        <w:rPr>
          <w:b/>
          <w:u w:val="single"/>
        </w:rPr>
        <w:t xml:space="preserve"> della riunione del 19/0</w:t>
      </w:r>
      <w:r w:rsidR="008D56DC">
        <w:rPr>
          <w:b/>
          <w:u w:val="single"/>
        </w:rPr>
        <w:t>6/2023</w:t>
      </w:r>
      <w:r w:rsidR="00086758">
        <w:t>, orario 10.10 – circa 12.30</w:t>
      </w:r>
    </w:p>
    <w:p w14:paraId="220E9FE4" w14:textId="77777777" w:rsidR="00306909" w:rsidRDefault="00D30A78" w:rsidP="00D67E85">
      <w:r>
        <w:t>P</w:t>
      </w:r>
      <w:r w:rsidR="00C84398">
        <w:t>artecipanti al gruppo di lavoro</w:t>
      </w:r>
      <w:r w:rsidR="00FC0F5D">
        <w:t xml:space="preserve"> e presenza alla video-conferenza</w:t>
      </w:r>
      <w:r>
        <w:t>: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500"/>
        <w:gridCol w:w="3860"/>
        <w:gridCol w:w="1636"/>
      </w:tblGrid>
      <w:tr w:rsidR="00C84398" w:rsidRPr="00C84398" w14:paraId="798DE7BA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64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Arpa/</w:t>
            </w:r>
            <w:proofErr w:type="spellStart"/>
            <w:r w:rsidRPr="00C84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Appa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B67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Nominativo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15E6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Posta elettronica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FF82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Presenza</w:t>
            </w:r>
          </w:p>
        </w:tc>
      </w:tr>
      <w:tr w:rsidR="00C84398" w:rsidRPr="00C84398" w14:paraId="6D701F23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FFD20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ISPRA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B30F" w14:textId="3B8D04B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Martina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Bussettini</w:t>
            </w:r>
            <w:proofErr w:type="spellEnd"/>
            <w:r w:rsidR="006677A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(gestore)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FB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martina.bussettini@isprambiente.it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4522" w14:textId="4900BE95" w:rsidR="00C84398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673885" w:rsidRPr="00C84398" w14:paraId="03389370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ADB19" w14:textId="2C7CD41B" w:rsidR="00673885" w:rsidRPr="00C84398" w:rsidRDefault="00673885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ISPRA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3FAC" w14:textId="517ABEDF" w:rsidR="00673885" w:rsidRPr="00C84398" w:rsidRDefault="00673885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Claudia V</w:t>
            </w:r>
            <w:r w:rsidR="003127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ende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tti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9168" w14:textId="77777777" w:rsidR="00673885" w:rsidRPr="00C84398" w:rsidRDefault="00673885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4096" w14:textId="50CFF3C3" w:rsidR="00673885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0EBB5DC3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7703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84A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Andrea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Mammoliti</w:t>
            </w:r>
            <w:proofErr w:type="spellEnd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Mochet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4F1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a.mammolitimochet@arpa.vda.it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E2C5" w14:textId="18EB945B" w:rsidR="00C84398" w:rsidRPr="002036F9" w:rsidRDefault="00A16C37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Compariva</w:t>
            </w:r>
            <w:r w:rsidR="006023E0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come</w:t>
            </w:r>
          </w:p>
        </w:tc>
      </w:tr>
      <w:tr w:rsidR="00A9708E" w:rsidRPr="00C84398" w14:paraId="3F6029AE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8AC2D" w14:textId="77777777" w:rsidR="00A9708E" w:rsidRPr="00C84398" w:rsidRDefault="00A9708E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05DF" w14:textId="0BCE21B4" w:rsidR="00A9708E" w:rsidRPr="00FC0F5D" w:rsidRDefault="00A9708E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Silvia Piovano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3FCF" w14:textId="77777777" w:rsidR="00A9708E" w:rsidRPr="00C84398" w:rsidRDefault="00A9708E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s.piovano@arpa.vda.it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D585" w14:textId="4F1C412F" w:rsidR="006023E0" w:rsidRPr="002036F9" w:rsidRDefault="006023E0" w:rsidP="006023E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ARPA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VdA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,</w:t>
            </w:r>
          </w:p>
        </w:tc>
      </w:tr>
      <w:tr w:rsidR="00C84398" w:rsidRPr="00C84398" w14:paraId="43974362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BD44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4A84" w14:textId="77777777" w:rsidR="00C84398" w:rsidRPr="00FC0F5D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Valeria Roatta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7AC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v.roatta@arpa.vda.it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E3F0" w14:textId="37F6185D" w:rsidR="00C84398" w:rsidRPr="002036F9" w:rsidRDefault="006023E0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chi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 </w:t>
            </w:r>
            <w:r w:rsidR="00061601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era 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presente ?</w:t>
            </w:r>
          </w:p>
        </w:tc>
      </w:tr>
      <w:tr w:rsidR="00AE2765" w:rsidRPr="00C84398" w14:paraId="7CAFF914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D9133" w14:textId="667A8057" w:rsidR="00AE2765" w:rsidRPr="00C84398" w:rsidRDefault="00AE2765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PIEMONTE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272C" w14:textId="2F5DAA4B" w:rsidR="00AE2765" w:rsidRPr="00FC0F5D" w:rsidRDefault="00AE2765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Cristina Converso …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…….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.(new)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E11" w14:textId="70C7659A" w:rsidR="00AE2765" w:rsidRPr="00C84398" w:rsidRDefault="00AE2765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cris.conv@arpa.piemonte.it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D5CD" w14:textId="77777777" w:rsidR="00AE2765" w:rsidRPr="002036F9" w:rsidRDefault="00AE276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AE2765" w:rsidRPr="00C84398" w14:paraId="5D75D176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371C63" w14:textId="049A7BA6" w:rsidR="00AE2765" w:rsidRPr="00C84398" w:rsidRDefault="00AE2765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PIEMONTE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E5B3" w14:textId="4BE4D8A1" w:rsidR="00AE2765" w:rsidRPr="00FC0F5D" w:rsidRDefault="00AE2765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Antonietta Fiorenza …… (new)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AE6F" w14:textId="422C9147" w:rsidR="00AE2765" w:rsidRPr="00C84398" w:rsidRDefault="00AE2765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antonietta.fiorenza@arpa.piemonte.it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D12F" w14:textId="01D056F8" w:rsidR="00AE2765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75C6EC53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BB375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5DC0" w14:textId="77777777" w:rsidR="00C84398" w:rsidRPr="00FC0F5D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Alessandro Morelli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515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a.morelli@arpalombardia.it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229D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5BAB8617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51FC4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689" w14:textId="77777777" w:rsidR="00C84398" w:rsidRPr="00FC0F5D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Chiara Agostinelli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F1A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c.agostinelli@arpalombardia.it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D914" w14:textId="7F641A0C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7B3827B3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4188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4D75" w14:textId="77777777" w:rsidR="00C84398" w:rsidRPr="00FC0F5D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Francesco Elvio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6DD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f.elvio@arpalombardia.it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10DA" w14:textId="3E482C81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4DB37C38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7FA2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B62A" w14:textId="77777777" w:rsidR="00C84398" w:rsidRPr="00FC0F5D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Laura Tremolada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41F8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l.tremolada@arpalombardia.it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C9B2" w14:textId="191472F1" w:rsidR="00C84398" w:rsidRPr="002036F9" w:rsidRDefault="003127F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767DF067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13FE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LOMBARDIA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F077" w14:textId="77777777" w:rsidR="00C84398" w:rsidRPr="00FC0F5D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Rosa Di Piazza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D3D6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r.dipiazza@arpalombardia.it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5A9C" w14:textId="3FEA0C0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490855D2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CA889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7932" w14:textId="77777777" w:rsidR="00C84398" w:rsidRPr="00FC0F5D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Tiziano </w:t>
            </w:r>
            <w:proofErr w:type="spellStart"/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Pangaro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3C72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tiziano.pangaro@provincia.tn.it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AD9D" w14:textId="10DC477B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3127FB" w:rsidRPr="00C84398" w14:paraId="7BE32EB8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A58E77" w14:textId="3F163CA5" w:rsidR="003127FB" w:rsidRPr="00C84398" w:rsidRDefault="003127F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TRENTO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3CD4" w14:textId="17B883EA" w:rsidR="003127FB" w:rsidRPr="00FC0F5D" w:rsidRDefault="00A16C37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Valentina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>Dallafior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636F" w14:textId="6A094A5C" w:rsidR="003127FB" w:rsidRPr="00C84398" w:rsidRDefault="003127F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valentina.dallafior@provincia.tn.it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9208" w14:textId="2A43DD68" w:rsidR="003127FB" w:rsidRPr="002036F9" w:rsidRDefault="00A16C37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37BC655B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D147C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BOLZANO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A6F7" w14:textId="77777777" w:rsidR="00C84398" w:rsidRPr="00FC0F5D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Tanja Barbara </w:t>
            </w:r>
            <w:proofErr w:type="spellStart"/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Noessing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89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tanja-barbara.noessing@provinz.bz.it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7B48" w14:textId="6DAEF27A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A9708E" w:rsidRPr="00C84398" w14:paraId="35D81728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89129F" w14:textId="77777777" w:rsidR="00A9708E" w:rsidRPr="00C84398" w:rsidRDefault="00A9708E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BOLZANO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514E" w14:textId="1A321913" w:rsidR="00A9708E" w:rsidRPr="00FC0F5D" w:rsidRDefault="00A9708E" w:rsidP="00C84398">
            <w:p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Barbara </w:t>
            </w:r>
            <w:proofErr w:type="spellStart"/>
            <w:r w:rsidRPr="00FC0F5D">
              <w:rPr>
                <w:rFonts w:eastAsia="Times New Roman" w:cstheme="minorHAnsi"/>
                <w:sz w:val="18"/>
                <w:szCs w:val="18"/>
                <w:lang w:eastAsia="it-IT"/>
              </w:rPr>
              <w:t>Vidoni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D443" w14:textId="77777777" w:rsidR="00A9708E" w:rsidRPr="00C84398" w:rsidRDefault="00A02BEE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</w:t>
            </w:r>
            <w:r w:rsidR="00A9708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arbara.vidoni@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provincia.bz.it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C74A" w14:textId="6B992662" w:rsidR="00A9708E" w:rsidRPr="002036F9" w:rsidRDefault="00A9708E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10359102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D38F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2B7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Ivano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Tanduo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B4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ivano.tanduo@arpa.veneto.it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F3AA" w14:textId="31DB7393" w:rsidR="00C84398" w:rsidRPr="002036F9" w:rsidRDefault="003127F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64A76683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8C1C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VENETO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F1F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Mnuela</w:t>
            </w:r>
            <w:proofErr w:type="spellEnd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Cason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AEB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manuela.cason@arpa.veneto.it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4540" w14:textId="13603DB3" w:rsidR="00C84398" w:rsidRPr="002036F9" w:rsidRDefault="003127F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3F9A1ABA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4ADA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FVG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742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Elisa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Zanut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736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elisa.zanut@arpa.fvg.it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2CB0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AF5B52" w:rsidRPr="00C84398" w14:paraId="10149FFC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C800D" w14:textId="281BBAC8" w:rsidR="00AF5B52" w:rsidRPr="00C84398" w:rsidRDefault="00AF5B52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FVG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5494" w14:textId="6BD0EB13" w:rsidR="00AF5B52" w:rsidRPr="00C84398" w:rsidRDefault="00AF5B52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Enrico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Bressan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425" w14:textId="6AFDDD32" w:rsidR="00AF5B52" w:rsidRPr="00C84398" w:rsidRDefault="00AF5B52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enrico.bressan@arpa.fvg.it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3C51" w14:textId="77777777" w:rsidR="00AF5B52" w:rsidRPr="002036F9" w:rsidRDefault="00AF5B52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7AAB8902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033A8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LIGURIA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5E98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Eliana Paoli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A74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eliana.paoli@arpal.liguria.it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92F6" w14:textId="03CCE4A3" w:rsidR="00C84398" w:rsidRPr="002036F9" w:rsidRDefault="003127F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3BAEBB51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B400E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LIGURIA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267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Stefano Coppo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18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stefano.coppo@arpal.liguria.it,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6739" w14:textId="64147134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3FEA58E0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4E27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2F52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Alessandra Agostini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1297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aagostini@arpae.it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EE5F" w14:textId="490882BF" w:rsidR="00C84398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3D506F9A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606337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06A7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Daniela Lucchini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E0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dlucchini@arpae.it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23AE" w14:textId="4156CC20" w:rsidR="00C84398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2FB46E88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D632E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689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Gisella Ferroni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9E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gferroni@arpae.it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9204" w14:textId="2703CA2B" w:rsidR="00C84398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10BF8ADF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1316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CF4D" w14:textId="7985A2C3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Paolo Spezzani</w:t>
            </w:r>
            <w:r w:rsidR="00495EB0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(gestore)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8E20" w14:textId="18BA80F0" w:rsidR="00C84398" w:rsidRPr="00C84398" w:rsidRDefault="00495EB0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pspezzani@arpae.it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0A3C" w14:textId="70225346" w:rsidR="00C84398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1E3E38C2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F5638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679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Silvia Franceschini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6C5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sfranceschini@arpae.it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00D9" w14:textId="3ACF76B4" w:rsidR="00C84398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1567AB95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143F98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EMILIA-ROMAGNA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13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Veronica Menna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E5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vmenna@arpae.it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1C69" w14:textId="50FF96AC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26B77647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2E38E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TOSCANA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A6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Susanna Cavalieri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38E6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s.cavalieri@arpat.toscana.it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619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309BF1BB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14BB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UMBRIA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C2F1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Alessandra Cingolani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683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a.cingolani@arpa.umbria.it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2AC7" w14:textId="78442AE9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70E0EDFD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559D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MARCHE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7A5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Debora Mancaniello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C0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debora.mancaniello@ambiente.marche.it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C82B" w14:textId="76E425E5" w:rsidR="00C84398" w:rsidRPr="002036F9" w:rsidRDefault="003127F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60CB1DB5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16F0F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A09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Paola De Marco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DF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p.demarco@artaabruzzo.it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99A6" w14:textId="6A2F1218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6FC1E593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F9D6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9C8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Paola Russo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45A8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p.russo@artaabruzzo.it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0A9C" w14:textId="2AD620D3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F95E38" w:rsidRPr="00C84398" w14:paraId="1E4C4F47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290FA2" w14:textId="708A0745" w:rsidR="00F95E38" w:rsidRPr="00C84398" w:rsidRDefault="00F95E3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ABRUZZO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73A0" w14:textId="41B680EC" w:rsidR="00F95E38" w:rsidRPr="00C84398" w:rsidRDefault="00F95E3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Giovanni Desiderio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7653" w14:textId="7DC59CFF" w:rsidR="00F95E38" w:rsidRPr="00C84398" w:rsidRDefault="00D03039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g.desiderio</w:t>
            </w:r>
            <w:r w:rsidRPr="00D0303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@artaabruzzo.it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26A5" w14:textId="77777777" w:rsidR="00F95E38" w:rsidRPr="002036F9" w:rsidRDefault="00F95E3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4C55E040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CBB0B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B0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Concetta Tamburro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B8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concetta.tamburro@arpamolise.it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5DC4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54CE0E62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8CBFF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MOLISE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B9D2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Michela Giancola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25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michela.giancola@arpamolise.it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FB43" w14:textId="570FB68A" w:rsidR="00C84398" w:rsidRPr="002036F9" w:rsidRDefault="003127F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55F7ED0A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AA5A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18F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Alberto Di Ludovico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7E86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alberto.diludovico@arpalazio.it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AF45" w14:textId="2A1E9F3C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D62B3D" w:rsidRPr="00C84398" w14:paraId="6C49A58F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E1840" w14:textId="50B704EB" w:rsidR="00D62B3D" w:rsidRPr="00C84398" w:rsidRDefault="00D62B3D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LAZIO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5658" w14:textId="095F9BE7" w:rsidR="00D62B3D" w:rsidRPr="00C84398" w:rsidRDefault="00D62B3D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Salvatore De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Bonis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5AFD" w14:textId="3AC14E7F" w:rsidR="00D62B3D" w:rsidRPr="00C84398" w:rsidRDefault="00D62B3D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D62B3D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salvatore.debonis@arpalazio.it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80C3" w14:textId="77777777" w:rsidR="00D62B3D" w:rsidRPr="002036F9" w:rsidRDefault="00D62B3D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3A9B0E5E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D85F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CAMPANIA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C0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Adolfo Mottola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E72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a.mottola@arpacampania.it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74C1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4C90C06D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3087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lastRenderedPageBreak/>
              <w:t>CAMPANIA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685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Cristiano Gramegna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AFEA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c.gramegna@arpacampania.it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7583B" w14:textId="5833CB24" w:rsidR="00C84398" w:rsidRPr="002036F9" w:rsidRDefault="00A16C37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329AD4E7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2EC2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PUGLIA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F30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Erminia Sgaramella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8A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e.sgaramella@arpa.puglia.it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9FDE" w14:textId="73CF849B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3127FB" w:rsidRPr="00C84398" w14:paraId="71246F24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5FC05A" w14:textId="15B228C9" w:rsidR="003127FB" w:rsidRPr="00C84398" w:rsidRDefault="003127F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PUGLIA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1005" w14:textId="13CE7E7B" w:rsidR="003127FB" w:rsidRPr="00C84398" w:rsidRDefault="003127F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Caterina Rotolo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59B1" w14:textId="070BCBE7" w:rsidR="003127FB" w:rsidRPr="00C84398" w:rsidRDefault="003127FB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</w:t>
            </w:r>
            <w:r w:rsidRPr="003127F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.rotolo@arpa.puglia.it.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DF41" w14:textId="4000EC41" w:rsidR="003127FB" w:rsidRPr="002036F9" w:rsidRDefault="003127F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5F770356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65FC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BASILICATA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636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Teresa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Trabace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A90D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teresa.trabace@arpab.it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3AA2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5F0F1BE3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7D3B4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CALABRIA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9BF2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Mario Mileto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80FC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m.mileto@arpacal.it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16DD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C84398" w:rsidRPr="00C84398" w14:paraId="54A9E0D8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DBA31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C4C3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Daniela </w:t>
            </w:r>
            <w:proofErr w:type="spellStart"/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Commodari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5A5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dcommodari@arpa.sicilia.it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7100" w14:textId="4E70694C" w:rsidR="00C84398" w:rsidRPr="002036F9" w:rsidRDefault="003127FB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6159A588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3A22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6F6E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Paola Aiello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A595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paiello@arpa.sicilia.it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F7B4" w14:textId="7B1F16E8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9B4AF2" w:rsidRPr="00C84398" w14:paraId="427E9F41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DB54B5" w14:textId="0EB06399" w:rsidR="009B4AF2" w:rsidRPr="00C84398" w:rsidRDefault="009B4AF2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SICILIA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4D5A00" w14:textId="65BA52B1" w:rsidR="009B4AF2" w:rsidRPr="00C84398" w:rsidRDefault="009B4AF2" w:rsidP="002036F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</w:t>
            </w:r>
            <w:r w:rsidR="00AE2765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nnalisa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Ferlito</w:t>
            </w:r>
            <w:proofErr w:type="spellEnd"/>
            <w:r w:rsidR="002036F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         </w:t>
            </w:r>
            <w:proofErr w:type="gramStart"/>
            <w:r w:rsidR="002036F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="002036F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new)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829F52" w14:textId="3CB135E4" w:rsidR="009B4AF2" w:rsidRPr="00C84398" w:rsidRDefault="00000EA7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00EA7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aferlito@arpa.sicilia.it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E726" w14:textId="4467E484" w:rsidR="009B4AF2" w:rsidRPr="002036F9" w:rsidRDefault="00673885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2036F9">
              <w:rPr>
                <w:rFonts w:eastAsia="Times New Roman" w:cstheme="minorHAnsi"/>
                <w:sz w:val="18"/>
                <w:szCs w:val="18"/>
                <w:lang w:eastAsia="it-IT"/>
              </w:rPr>
              <w:t>Si</w:t>
            </w:r>
          </w:p>
        </w:tc>
      </w:tr>
      <w:tr w:rsidR="00C84398" w:rsidRPr="00C84398" w14:paraId="6A4EEC44" w14:textId="77777777" w:rsidTr="006023E0">
        <w:trPr>
          <w:trHeight w:hRule="exact" w:val="25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03709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SARDEGNA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2BF0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Roberto Angius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5D99" w14:textId="77777777" w:rsidR="00C84398" w:rsidRPr="00C84398" w:rsidRDefault="00C84398" w:rsidP="00C84398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C84398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rangius@arpa.sardegna.it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6E08" w14:textId="77777777" w:rsidR="00C84398" w:rsidRPr="002036F9" w:rsidRDefault="00C84398" w:rsidP="00C8439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14:paraId="70CAD1DB" w14:textId="77777777" w:rsidR="00306909" w:rsidRDefault="00306909"/>
    <w:p w14:paraId="2FE1A0A4" w14:textId="2A527447" w:rsidR="00BE217C" w:rsidRDefault="00BE217C">
      <w:r>
        <w:t>Mancano quindi rapp</w:t>
      </w:r>
      <w:r w:rsidR="00A16C37">
        <w:t>resentati delle ARPA/APPA</w:t>
      </w:r>
      <w:r>
        <w:t xml:space="preserve">, </w:t>
      </w:r>
      <w:r w:rsidR="00A16C37">
        <w:t xml:space="preserve">Bolzano, </w:t>
      </w:r>
      <w:r>
        <w:t>Friuli-Venezia-</w:t>
      </w:r>
      <w:r w:rsidR="00D4321B">
        <w:t xml:space="preserve">Giulia, Toscana, </w:t>
      </w:r>
      <w:r w:rsidR="00A16C37">
        <w:t>Umbria</w:t>
      </w:r>
      <w:r w:rsidR="00952D62">
        <w:t>,</w:t>
      </w:r>
      <w:r w:rsidR="00D4321B">
        <w:t xml:space="preserve"> </w:t>
      </w:r>
      <w:r w:rsidR="00A16C37">
        <w:t>Abruzzo, L</w:t>
      </w:r>
      <w:r w:rsidR="00952D62">
        <w:t>azio, Basilicata, Calabria</w:t>
      </w:r>
      <w:r w:rsidR="00D4321B">
        <w:t xml:space="preserve"> e Sardegna.</w:t>
      </w:r>
    </w:p>
    <w:p w14:paraId="7DDC8492" w14:textId="6CAD996E" w:rsidR="00306909" w:rsidRDefault="00C84398" w:rsidP="00974672">
      <w:pPr>
        <w:jc w:val="both"/>
      </w:pPr>
      <w:r>
        <w:t xml:space="preserve">Nella </w:t>
      </w:r>
      <w:r w:rsidR="00974672">
        <w:t>prima parte della riunione Spezzani (</w:t>
      </w:r>
      <w:proofErr w:type="spellStart"/>
      <w:r w:rsidR="00974672">
        <w:t>Arpae</w:t>
      </w:r>
      <w:proofErr w:type="spellEnd"/>
      <w:r w:rsidR="00974672">
        <w:t xml:space="preserve"> ER) illustra </w:t>
      </w:r>
      <w:r w:rsidR="00952D62">
        <w:t xml:space="preserve">in sintesi le criticità emerse dal questionario e </w:t>
      </w:r>
      <w:r w:rsidR="00341BD0">
        <w:t xml:space="preserve">i </w:t>
      </w:r>
      <w:r w:rsidR="00952D62">
        <w:t xml:space="preserve">possibili aspetti da considerare nella revisione delle LG </w:t>
      </w:r>
      <w:r w:rsidR="00952D62" w:rsidRPr="00952D62">
        <w:t>ISPRA 116/2014 “Progettazione reti e programmi di monitoraggio delle acque ai sensi del Decreto 152/2006 e relativi decreti attuativi”</w:t>
      </w:r>
      <w:r w:rsidR="00952D62">
        <w:t xml:space="preserve">, in analogia </w:t>
      </w:r>
      <w:r w:rsidR="003B32F3">
        <w:t>con i contenuti del punto 5</w:t>
      </w:r>
      <w:r w:rsidR="00952D62">
        <w:t xml:space="preserve"> </w:t>
      </w:r>
      <w:r w:rsidR="00974672">
        <w:t xml:space="preserve">del documento che è stato inviato </w:t>
      </w:r>
      <w:r w:rsidR="00952D62">
        <w:t>il 7 giugno</w:t>
      </w:r>
      <w:r w:rsidR="0000158C">
        <w:t xml:space="preserve"> al gruppo di lavoro</w:t>
      </w:r>
      <w:r w:rsidR="00974672">
        <w:t>.</w:t>
      </w:r>
    </w:p>
    <w:p w14:paraId="35E55BC6" w14:textId="77777777" w:rsidR="003B32F3" w:rsidRDefault="003B32F3" w:rsidP="00974672">
      <w:pPr>
        <w:jc w:val="both"/>
      </w:pPr>
    </w:p>
    <w:p w14:paraId="03C67AF5" w14:textId="7E1A3B77" w:rsidR="0000158C" w:rsidRPr="00061601" w:rsidRDefault="00974672" w:rsidP="00974672">
      <w:pPr>
        <w:jc w:val="both"/>
      </w:pPr>
      <w:r w:rsidRPr="00061601">
        <w:rPr>
          <w:b/>
          <w:i/>
        </w:rPr>
        <w:t xml:space="preserve">Martina </w:t>
      </w:r>
      <w:proofErr w:type="spellStart"/>
      <w:r w:rsidRPr="00061601">
        <w:rPr>
          <w:b/>
          <w:i/>
        </w:rPr>
        <w:t>Bussettini</w:t>
      </w:r>
      <w:proofErr w:type="spellEnd"/>
      <w:r w:rsidRPr="00061601">
        <w:t xml:space="preserve"> </w:t>
      </w:r>
      <w:r w:rsidR="008B77E2" w:rsidRPr="00061601">
        <w:t xml:space="preserve">(ISPRA) </w:t>
      </w:r>
      <w:r w:rsidRPr="00061601">
        <w:t>evidenzia che</w:t>
      </w:r>
      <w:r w:rsidR="0000158C" w:rsidRPr="00061601">
        <w:t>:</w:t>
      </w:r>
    </w:p>
    <w:p w14:paraId="09BBC536" w14:textId="77777777" w:rsidR="00061601" w:rsidRPr="00061601" w:rsidRDefault="00061601" w:rsidP="00061601">
      <w:pPr>
        <w:jc w:val="both"/>
      </w:pPr>
      <w:r w:rsidRPr="00061601">
        <w:t>- per gli artificiali e i fortemente modificati che siano identificati come tali lo stato dovrebbe risultare non buono per le sole caratteristiche di artificialità e per le modificazioni morfologiche, indipendentemente dalla presenza di altre pressioni;</w:t>
      </w:r>
    </w:p>
    <w:p w14:paraId="03895F3E" w14:textId="77777777" w:rsidR="00061601" w:rsidRPr="00061601" w:rsidRDefault="00061601" w:rsidP="00061601">
      <w:pPr>
        <w:jc w:val="both"/>
      </w:pPr>
      <w:r w:rsidRPr="00061601">
        <w:t>- nella valutazione dello stato ecologico si evidenzia un problema di metriche sugli EQB, che non permettono di rilevare in modo adeguato le modificazioni morfologiche che sono presenti e quindi a volte determinano un buono stato anche quando lo stesso non dovrebbe essere tale;</w:t>
      </w:r>
    </w:p>
    <w:p w14:paraId="481790F5" w14:textId="77777777" w:rsidR="00061601" w:rsidRPr="00061601" w:rsidRDefault="00061601" w:rsidP="00061601">
      <w:pPr>
        <w:jc w:val="both"/>
      </w:pPr>
      <w:r w:rsidRPr="00061601">
        <w:t>- qualora le misure che consentirebbero la mitigazione delle alterazioni morfologiche non si valutino attuabili per ragioni di fattibilità tecnica o per aspetti socio-economici (costi sproporzionati) allora l’obiettivo del corpo idrico fortemente modificato può essere derogato (come valore o come tempo di raggiungimento) e andranno previste nei Piani di Gestione le opportune deroghe al raggiungimento dell’obiettivo di buon potenziale ecologico;</w:t>
      </w:r>
    </w:p>
    <w:p w14:paraId="4B20F320" w14:textId="77777777" w:rsidR="00061601" w:rsidRPr="00061601" w:rsidRDefault="00061601" w:rsidP="00061601">
      <w:pPr>
        <w:jc w:val="both"/>
      </w:pPr>
      <w:r w:rsidRPr="00061601">
        <w:t>- per quanto riguarda i corpi idrici artificiali per la selezione, come indicato dal 341/2016, gli elementi da analizzare sono ben definiti (sovrapposizione ad aree protette e rischio qualitativo sui corpi idrici di valle) e sono quelli da considerare, mentre per i fortemente modificati i corpi idrici debbono essere caratterizzati da modificazioni rilevanti e significative (definite nel D 156/2013);</w:t>
      </w:r>
    </w:p>
    <w:p w14:paraId="4A1BF096" w14:textId="77777777" w:rsidR="00061601" w:rsidRPr="00061601" w:rsidRDefault="00061601" w:rsidP="00061601">
      <w:pPr>
        <w:jc w:val="both"/>
      </w:pPr>
      <w:r w:rsidRPr="00061601">
        <w:t>- per le problematiche emerse su monitoraggio e classificazione di CIFM e CIA ISPRA si rende disponibile (Martina e Claudia Vendetti) ad organizzare un paio di seminari informativi, circa le scelte da fare, anche tenendo conto dell’attuale stato di evoluzione della problematica a livello europeo;</w:t>
      </w:r>
    </w:p>
    <w:p w14:paraId="2CE97BCA" w14:textId="77777777" w:rsidR="00061601" w:rsidRPr="00061601" w:rsidRDefault="00061601" w:rsidP="00061601">
      <w:pPr>
        <w:jc w:val="both"/>
      </w:pPr>
      <w:r w:rsidRPr="00061601">
        <w:t xml:space="preserve">- per quanto riguarda le modalità di designazione, chi ha già provveduto lo ha fatto interpretando i criteri di base forniti dal 156/2013 e i contenuti della </w:t>
      </w:r>
      <w:proofErr w:type="spellStart"/>
      <w:r w:rsidRPr="00061601">
        <w:t>Guidance</w:t>
      </w:r>
      <w:proofErr w:type="spellEnd"/>
      <w:r w:rsidRPr="00061601">
        <w:t xml:space="preserve"> </w:t>
      </w:r>
      <w:proofErr w:type="spellStart"/>
      <w:r w:rsidRPr="00061601">
        <w:t>Document</w:t>
      </w:r>
      <w:proofErr w:type="spellEnd"/>
      <w:r w:rsidRPr="00061601">
        <w:t xml:space="preserve"> n. 4; mancano però specifiche indicazioni sulla procedura di designazione, che dovrebbero venire dal Ministero, anche alla luce delle valutazioni e applicazioni fatte in questi anni a livello europeo.</w:t>
      </w:r>
    </w:p>
    <w:p w14:paraId="32CB6887" w14:textId="77777777" w:rsidR="00061601" w:rsidRDefault="00061601" w:rsidP="0000158C">
      <w:pPr>
        <w:jc w:val="both"/>
      </w:pPr>
    </w:p>
    <w:p w14:paraId="54B6EEDF" w14:textId="3D3BC7B1" w:rsidR="0000158C" w:rsidRDefault="00443F03" w:rsidP="00974672">
      <w:pPr>
        <w:jc w:val="both"/>
      </w:pPr>
      <w:r>
        <w:t>Interventi delle diverse ARPA/APPA</w:t>
      </w:r>
      <w:r w:rsidR="00596AB5">
        <w:t>:</w:t>
      </w:r>
    </w:p>
    <w:p w14:paraId="683FF91A" w14:textId="592F033E" w:rsidR="00C63283" w:rsidRDefault="00596AB5" w:rsidP="00974672">
      <w:pPr>
        <w:jc w:val="both"/>
      </w:pPr>
      <w:r w:rsidRPr="00061601">
        <w:rPr>
          <w:b/>
          <w:i/>
        </w:rPr>
        <w:lastRenderedPageBreak/>
        <w:t>Laura Tremolada</w:t>
      </w:r>
      <w:r>
        <w:t xml:space="preserve"> (</w:t>
      </w:r>
      <w:r w:rsidR="00A817DB">
        <w:t>Lombardia</w:t>
      </w:r>
      <w:r>
        <w:t xml:space="preserve">): </w:t>
      </w:r>
      <w:r w:rsidR="00C63283" w:rsidRPr="00C63283">
        <w:t xml:space="preserve">per la Lombardia l’aspetto di “ritenere accettabili le modalità di classificazione del potenziale ecologico di cui al DD 341/STA/2016, già impiegate dalla maggior parte delle ARPA/APPA nelle classificazioni per i </w:t>
      </w:r>
      <w:proofErr w:type="spellStart"/>
      <w:r w:rsidR="00C63283" w:rsidRPr="00C63283">
        <w:t>PdG</w:t>
      </w:r>
      <w:proofErr w:type="spellEnd"/>
      <w:r w:rsidR="00C63283" w:rsidRPr="00C63283">
        <w:t xml:space="preserve"> del 2021, anche se le differenze rispetto allo stato ecologico sono molto ridotte e quindi se lo stato ecologico non è buono, quasi sempre è tale anche il potenziale ecologico…” può valere per i CIFM </w:t>
      </w:r>
      <w:r w:rsidR="006230A4" w:rsidRPr="006230A4">
        <w:rPr>
          <w:i/>
        </w:rPr>
        <w:t xml:space="preserve">(le diatomee non si modificano, mentre si modificano i </w:t>
      </w:r>
      <w:proofErr w:type="spellStart"/>
      <w:r w:rsidR="006230A4" w:rsidRPr="006230A4">
        <w:rPr>
          <w:i/>
        </w:rPr>
        <w:t>macroinvertebrati</w:t>
      </w:r>
      <w:proofErr w:type="spellEnd"/>
      <w:r w:rsidR="006230A4" w:rsidRPr="006230A4">
        <w:rPr>
          <w:i/>
        </w:rPr>
        <w:t>, solitamente di poco per i CIFM, di parecchio per i CIA – Tabelle 4 e 5 – Allegato 1 del DD 341/STA)</w:t>
      </w:r>
      <w:r w:rsidR="006230A4">
        <w:t xml:space="preserve"> </w:t>
      </w:r>
      <w:r w:rsidR="00C63283" w:rsidRPr="00C63283">
        <w:t xml:space="preserve">ma non per i CIA dove si monitorano i </w:t>
      </w:r>
      <w:proofErr w:type="spellStart"/>
      <w:r w:rsidR="00C63283" w:rsidRPr="00C63283">
        <w:t>macroinvertebrati</w:t>
      </w:r>
      <w:proofErr w:type="spellEnd"/>
      <w:r w:rsidR="00C63283" w:rsidRPr="00C63283">
        <w:t>: per questi la differenza è significativa (c’è un problema di valori di riferimento); si ritiene che non abbia molto senso proporre una soglia inferiore di superficie per i CIA, essendo sufficientemente validi i criteri stabiliti dal DM 131/2018 e dal DD/341/STA (allegato Approfondimenti – Parte seconda – Punto A. Individuazione dei tipi di corpi idrici artificiali fluviali); occorrerebbe rivedere talune metriche e definire dei criteri oggettivi connessi al monitoraggio e alla classificazione in modo tale che, in presenza di modificazioni idro-morfologiche rilevanti e persistenti, taluni EQB risultino effettivamente in uno stato minore di buono, come ci si aspetterebbe.</w:t>
      </w:r>
    </w:p>
    <w:p w14:paraId="08F6C618" w14:textId="79443794" w:rsidR="0000158C" w:rsidRDefault="00A817DB" w:rsidP="00974672">
      <w:pPr>
        <w:jc w:val="both"/>
      </w:pPr>
      <w:r w:rsidRPr="00061601">
        <w:rPr>
          <w:b/>
          <w:i/>
        </w:rPr>
        <w:t xml:space="preserve">Cristiano </w:t>
      </w:r>
      <w:proofErr w:type="spellStart"/>
      <w:r w:rsidRPr="00061601">
        <w:rPr>
          <w:b/>
          <w:i/>
        </w:rPr>
        <w:t>Gramegna</w:t>
      </w:r>
      <w:proofErr w:type="spellEnd"/>
      <w:r>
        <w:t xml:space="preserve"> (Campania): </w:t>
      </w:r>
      <w:r w:rsidR="00262DD0">
        <w:t xml:space="preserve">individuazione preliminare e designazione effettuate a livello di </w:t>
      </w:r>
      <w:proofErr w:type="spellStart"/>
      <w:r w:rsidR="00262DD0">
        <w:t>AdB</w:t>
      </w:r>
      <w:proofErr w:type="spellEnd"/>
      <w:r w:rsidR="00262DD0">
        <w:t xml:space="preserve"> in modo superficiale e solo qualitativo; Arpa ha in avvio valutazioni più dettagliate comprendenti anche l’IQM, che dovrebbero permettere in maniera più oggettiva l’individuazione di CIFM e CIA; nonostante questa situazione il Distretto preme comunque per avere classificazioni specifiche per questi tipi di corpi idrici.</w:t>
      </w:r>
    </w:p>
    <w:p w14:paraId="7343CDFF" w14:textId="14670AA3" w:rsidR="003B0B1A" w:rsidRDefault="00262DD0" w:rsidP="003B0B1A">
      <w:pPr>
        <w:jc w:val="both"/>
      </w:pPr>
      <w:r w:rsidRPr="00061601">
        <w:rPr>
          <w:b/>
          <w:i/>
        </w:rPr>
        <w:t>Antonietta Fiorenza</w:t>
      </w:r>
      <w:r>
        <w:t xml:space="preserve"> (Piemonte): </w:t>
      </w:r>
      <w:r w:rsidR="0062642F">
        <w:t>il Piemonte è arrivato alla designazione di CIA e CIFM fluviali, mentre per i lacustri le valutazioni dovranno essere in parte riviste (</w:t>
      </w:r>
      <w:r w:rsidR="0062642F" w:rsidRPr="00341BD0">
        <w:rPr>
          <w:i/>
        </w:rPr>
        <w:t>da questionario risultano tutti designati</w:t>
      </w:r>
      <w:r w:rsidR="0062642F">
        <w:t xml:space="preserve">), per il passaggio probabile di parte dei CIA a CIFM; per gli invasi, caratterizzati da alterazioni irreversibili, lo stato risulterebbe di buono persistente, anche se qui la problematica sono probabilmente le metriche attuali utilizzate che non si adattano a questi tipi di modificazioni; per gli artificiali fluviali si ritiene che i criteri legati alla sovrapposizione alle aree protette e agli effetti in termini </w:t>
      </w:r>
      <w:r w:rsidR="00FB17CF">
        <w:t>di impatti qualitativi sui corpi idrici di valle siano sufficiente e non serva un limite inferiore di superficie drenata, anche perché per certe aste piemontesi tale grandezza</w:t>
      </w:r>
      <w:r w:rsidR="00341BD0">
        <w:t xml:space="preserve"> non è di immediata valutazione</w:t>
      </w:r>
      <w:r w:rsidR="00FB17CF">
        <w:t>, con funzionamenti diversi a seconda delle manovre idrauliche effettuate.</w:t>
      </w:r>
    </w:p>
    <w:p w14:paraId="1FFABDC6" w14:textId="3263AF67" w:rsidR="00A817DB" w:rsidRDefault="00FB17CF" w:rsidP="00974672">
      <w:pPr>
        <w:jc w:val="both"/>
      </w:pPr>
      <w:r w:rsidRPr="00061601">
        <w:rPr>
          <w:b/>
          <w:i/>
        </w:rPr>
        <w:t>Eliana Paoli</w:t>
      </w:r>
      <w:r>
        <w:t xml:space="preserve"> (Liguria): ai fini del questionario per gli invasi lacustri si è passati da CIA a CIFM; si ritiene opportuno precisare meglio quali debbano essere le modalità per il monitoraggio dei CIFM;</w:t>
      </w:r>
      <w:r w:rsidRPr="00FB17CF">
        <w:t xml:space="preserve"> soglia sui CIA non opportuna, in Liguria areali imbrif</w:t>
      </w:r>
      <w:r w:rsidR="009E2A8F">
        <w:t>eri spesso molto piccoli.</w:t>
      </w:r>
    </w:p>
    <w:p w14:paraId="4D68391B" w14:textId="64DDC828" w:rsidR="009E2A8F" w:rsidRDefault="009E2A8F" w:rsidP="00974672">
      <w:pPr>
        <w:jc w:val="both"/>
      </w:pPr>
      <w:r w:rsidRPr="00061601">
        <w:rPr>
          <w:b/>
          <w:i/>
        </w:rPr>
        <w:t xml:space="preserve">Debora </w:t>
      </w:r>
      <w:proofErr w:type="spellStart"/>
      <w:r w:rsidRPr="00061601">
        <w:rPr>
          <w:b/>
          <w:i/>
        </w:rPr>
        <w:t>Mancaniello</w:t>
      </w:r>
      <w:proofErr w:type="spellEnd"/>
      <w:r>
        <w:t xml:space="preserve"> (Marche): i lacuali, nel corso dell’attività sono stati passati da CIA a CIFM ma tale variazione non è al momento stata recepita dalla Regione, viene monitorato come EQB il solo fitoplancton; si chiede se i 4 invasi CIFM che sono costantemente valutati in stato buono, per tale motivo debba</w:t>
      </w:r>
      <w:r w:rsidR="00F13617">
        <w:t>no essere assimilati a naturali; richiesta anche qui dei criteri per il monitoraggio dei CIFM lacustri.</w:t>
      </w:r>
    </w:p>
    <w:p w14:paraId="1F7BE230" w14:textId="38E78B6A" w:rsidR="00FB17CF" w:rsidRDefault="009E2A8F" w:rsidP="00974672">
      <w:pPr>
        <w:jc w:val="both"/>
      </w:pPr>
      <w:r w:rsidRPr="00061601">
        <w:rPr>
          <w:b/>
          <w:i/>
        </w:rPr>
        <w:t xml:space="preserve">Gisella </w:t>
      </w:r>
      <w:proofErr w:type="spellStart"/>
      <w:r w:rsidRPr="00061601">
        <w:rPr>
          <w:b/>
          <w:i/>
        </w:rPr>
        <w:t>Ferroni</w:t>
      </w:r>
      <w:proofErr w:type="spellEnd"/>
      <w:r>
        <w:t xml:space="preserve"> (Emilia-Romagna): per gli invasi </w:t>
      </w:r>
      <w:r w:rsidR="008E4EF2">
        <w:t xml:space="preserve">(CIFM) </w:t>
      </w:r>
      <w:r>
        <w:t xml:space="preserve">i limiti per il fitoplancton </w:t>
      </w:r>
      <w:r w:rsidR="00767A51">
        <w:t xml:space="preserve">non cambiano sia che si parli di stato che di potenziale, quindi nessuna </w:t>
      </w:r>
      <w:r w:rsidR="008E4EF2">
        <w:t>differenza</w:t>
      </w:r>
      <w:r w:rsidR="00A409FF">
        <w:t>, unico aspetto da considerare è il fatto che prima si utilizzasse, per entrambi, l’indice ICF</w:t>
      </w:r>
      <w:r w:rsidR="00AF1E8D">
        <w:t xml:space="preserve"> </w:t>
      </w:r>
      <w:r w:rsidR="00AF1E8D" w:rsidRPr="00AF1E8D">
        <w:t>(Indice Complessivo per il Fitoplancton)</w:t>
      </w:r>
      <w:r w:rsidR="00A409FF">
        <w:t xml:space="preserve">, ora si considera </w:t>
      </w:r>
      <w:r w:rsidR="00AF1E8D">
        <w:t xml:space="preserve">sempre per entrambi un suo aggiornamento </w:t>
      </w:r>
      <w:r w:rsidR="00A409FF">
        <w:t>l’IPAM</w:t>
      </w:r>
      <w:r w:rsidR="00BA2444">
        <w:t>, che appare un po’ meno restrittivo per l’appartenenza alla classe di “buono e oltre”</w:t>
      </w:r>
      <w:r w:rsidR="00AF1E8D" w:rsidRPr="00AF1E8D">
        <w:t>; quindi eventuali differenze rispetto all</w:t>
      </w:r>
      <w:r w:rsidR="00AF1E8D">
        <w:t>a classificazione precedente possono essere ricondotte</w:t>
      </w:r>
      <w:r w:rsidR="00AF1E8D" w:rsidRPr="00AF1E8D">
        <w:t xml:space="preserve"> all'utilizzo dei due diversi metodi</w:t>
      </w:r>
      <w:r w:rsidR="008E4EF2">
        <w:t>; i criteri di monitoraggio dei CIFM sono già stati chiariti in altri tavoli</w:t>
      </w:r>
      <w:r w:rsidR="00F13617">
        <w:t xml:space="preserve"> (</w:t>
      </w:r>
      <w:r w:rsidR="004601FF">
        <w:t>in particolare sotto-gruppo</w:t>
      </w:r>
      <w:r w:rsidR="00F13617">
        <w:t xml:space="preserve"> M3), le risultanze so</w:t>
      </w:r>
      <w:r w:rsidR="008E4EF2">
        <w:t>no</w:t>
      </w:r>
      <w:r w:rsidR="00F13617">
        <w:t xml:space="preserve"> condivise nella cartella Ispra-</w:t>
      </w:r>
      <w:proofErr w:type="spellStart"/>
      <w:r w:rsidR="00F13617">
        <w:t>Sintai</w:t>
      </w:r>
      <w:proofErr w:type="spellEnd"/>
      <w:r w:rsidR="00F13617">
        <w:t xml:space="preserve"> relativa alla presente linea di attività e comunque il verbale relativo, con l’annesso questionario, sarà inviato alle ARPA che ne hanno fatto richiesta.</w:t>
      </w:r>
    </w:p>
    <w:p w14:paraId="6EA11F6E" w14:textId="15F6E74A" w:rsidR="00FB17CF" w:rsidRDefault="00546524" w:rsidP="00974672">
      <w:pPr>
        <w:jc w:val="both"/>
      </w:pPr>
      <w:r w:rsidRPr="00061601">
        <w:rPr>
          <w:b/>
          <w:i/>
        </w:rPr>
        <w:t>Daniela Lucchini</w:t>
      </w:r>
      <w:r>
        <w:t xml:space="preserve"> (Emilia-Romagna): anche sui CIFM</w:t>
      </w:r>
      <w:r w:rsidR="00F13617">
        <w:t xml:space="preserve"> lacustri è da inserire</w:t>
      </w:r>
      <w:r>
        <w:t xml:space="preserve"> il monitoraggio delle diatomee bentoniche (su substrati artificiali), con gli stessi limiti/coefficienti</w:t>
      </w:r>
      <w:r w:rsidR="00F13617">
        <w:t xml:space="preserve"> impiegati per i laghi naturali; al riguardo è stata </w:t>
      </w:r>
      <w:r w:rsidR="004601FF">
        <w:t xml:space="preserve">a suo tempo </w:t>
      </w:r>
      <w:r w:rsidR="00F13617">
        <w:t>inviata</w:t>
      </w:r>
      <w:r w:rsidR="00F13617" w:rsidRPr="00F13617">
        <w:t xml:space="preserve"> </w:t>
      </w:r>
      <w:r w:rsidR="00F13617">
        <w:t xml:space="preserve">a tutti i partecipanti alle </w:t>
      </w:r>
      <w:r w:rsidR="00F13617" w:rsidRPr="00F13617">
        <w:t>sotto</w:t>
      </w:r>
      <w:r w:rsidR="00F13617">
        <w:t>-</w:t>
      </w:r>
      <w:r w:rsidR="00F13617" w:rsidRPr="00F13617">
        <w:t>attività 09-1 M3</w:t>
      </w:r>
      <w:r w:rsidR="00F13617">
        <w:t xml:space="preserve"> </w:t>
      </w:r>
      <w:r w:rsidR="00F13617" w:rsidRPr="00F13617">
        <w:t>e C7</w:t>
      </w:r>
      <w:r w:rsidR="00F13617">
        <w:t xml:space="preserve"> la circolare del ministero in </w:t>
      </w:r>
      <w:r w:rsidR="00F13617">
        <w:lastRenderedPageBreak/>
        <w:t>merito alla Decisione UE relativa all’</w:t>
      </w:r>
      <w:proofErr w:type="spellStart"/>
      <w:r w:rsidR="00F13617">
        <w:t>intercalibrazione</w:t>
      </w:r>
      <w:proofErr w:type="spellEnd"/>
      <w:r w:rsidR="004601FF">
        <w:t>,</w:t>
      </w:r>
      <w:r w:rsidR="00F13617">
        <w:t xml:space="preserve"> </w:t>
      </w:r>
      <w:r w:rsidR="004601FF">
        <w:t>finalizzata all’</w:t>
      </w:r>
      <w:r w:rsidR="00F13617" w:rsidRPr="00F13617">
        <w:t>inserimento</w:t>
      </w:r>
      <w:r w:rsidR="004601FF">
        <w:t xml:space="preserve"> "ufficiale" de</w:t>
      </w:r>
      <w:r w:rsidR="00F13617" w:rsidRPr="00F13617">
        <w:t>l monitoraggio d</w:t>
      </w:r>
      <w:r w:rsidR="004601FF">
        <w:t>elle diatomee bentoniche sui corpi idrici lacustri n</w:t>
      </w:r>
      <w:r w:rsidR="00F13617" w:rsidRPr="00F13617">
        <w:t xml:space="preserve">aturali </w:t>
      </w:r>
      <w:r w:rsidR="004601FF">
        <w:t>e a</w:t>
      </w:r>
      <w:r w:rsidR="00F13617" w:rsidRPr="00F13617">
        <w:t>ltamente modificati</w:t>
      </w:r>
      <w:r w:rsidR="004601FF">
        <w:t>.</w:t>
      </w:r>
    </w:p>
    <w:p w14:paraId="6D934499" w14:textId="291FD352" w:rsidR="00546524" w:rsidRDefault="00546524" w:rsidP="00974672">
      <w:pPr>
        <w:jc w:val="both"/>
      </w:pPr>
      <w:r w:rsidRPr="00061601">
        <w:rPr>
          <w:b/>
          <w:i/>
        </w:rPr>
        <w:t>Antonietta Fiorenza</w:t>
      </w:r>
      <w:r>
        <w:t xml:space="preserve"> (Piemonte): un CIFM lacustre in buono stato/potenziale ecologico resta però tale e non è da assimilare a naturale, la valutazione risulta più discutibile per i fluviali.</w:t>
      </w:r>
    </w:p>
    <w:p w14:paraId="4A7C99A9" w14:textId="5A21879A" w:rsidR="00546524" w:rsidRDefault="00546524" w:rsidP="00974672">
      <w:pPr>
        <w:jc w:val="both"/>
      </w:pPr>
      <w:r w:rsidRPr="00061601">
        <w:rPr>
          <w:b/>
          <w:i/>
        </w:rPr>
        <w:t xml:space="preserve">Martina </w:t>
      </w:r>
      <w:proofErr w:type="spellStart"/>
      <w:r w:rsidRPr="00061601">
        <w:rPr>
          <w:b/>
          <w:i/>
        </w:rPr>
        <w:t>Bussettini</w:t>
      </w:r>
      <w:proofErr w:type="spellEnd"/>
      <w:r>
        <w:t xml:space="preserve"> (ISPRA): </w:t>
      </w:r>
      <w:r w:rsidR="00024ACE">
        <w:t xml:space="preserve">anche per i fluviali </w:t>
      </w:r>
      <w:r>
        <w:t>se il corpo idrico risulta profondamente alterato dal punto di</w:t>
      </w:r>
      <w:r w:rsidR="004601FF">
        <w:t xml:space="preserve"> vista idro-morfologico e non v</w:t>
      </w:r>
      <w:r>
        <w:t xml:space="preserve">i sono possibilità </w:t>
      </w:r>
      <w:r w:rsidR="00F43DAD">
        <w:t>di recupero non va assimilato a naturale.</w:t>
      </w:r>
    </w:p>
    <w:p w14:paraId="363FB08E" w14:textId="77DFCB17" w:rsidR="00FB17CF" w:rsidRDefault="00F43DAD" w:rsidP="00974672">
      <w:pPr>
        <w:jc w:val="both"/>
      </w:pPr>
      <w:r w:rsidRPr="00061601">
        <w:rPr>
          <w:b/>
          <w:i/>
        </w:rPr>
        <w:t xml:space="preserve">Ivano </w:t>
      </w:r>
      <w:proofErr w:type="spellStart"/>
      <w:r w:rsidRPr="00061601">
        <w:rPr>
          <w:b/>
          <w:i/>
        </w:rPr>
        <w:t>Tanduo</w:t>
      </w:r>
      <w:proofErr w:type="spellEnd"/>
      <w:r>
        <w:t xml:space="preserve"> (Veneto): in presenza di aste artificiali qualche caso di stato buono</w:t>
      </w:r>
      <w:r w:rsidR="007B41A9">
        <w:t xml:space="preserve"> è capitato</w:t>
      </w:r>
      <w:r>
        <w:t>, è designato artificiale e mantenuto comunque tale; in presenza di CIFM in stato buono</w:t>
      </w:r>
      <w:r w:rsidR="007B41A9">
        <w:t xml:space="preserve">, sia che manchi il monitoraggio della fauna ittica, sia che sia effettuato </w:t>
      </w:r>
      <w:r w:rsidR="00A409FF">
        <w:t xml:space="preserve">e in futuro classificato </w:t>
      </w:r>
      <w:r w:rsidR="007B41A9">
        <w:t>e mantenga il buono, in presenza di forti alterazioni idro-morfologiche, la condizione di CIFM viene mantenuta; in Veneto per i CIA utilizzata una soglia (15 anni fa) di 50 kmq; per quanto riguarda il monitoraggio dei CIA gli EQB vengono previsti per aste con sponde in terra assimilabili a corpi idrici naturali, se sponde artificiali si ritiene di non prevedere la valutazione degli EQB.</w:t>
      </w:r>
    </w:p>
    <w:p w14:paraId="36105DA6" w14:textId="5B083297" w:rsidR="00F43DAD" w:rsidRDefault="007B41A9" w:rsidP="00974672">
      <w:pPr>
        <w:jc w:val="both"/>
      </w:pPr>
      <w:r w:rsidRPr="00061601">
        <w:rPr>
          <w:b/>
        </w:rPr>
        <w:t>Laura Tremolada</w:t>
      </w:r>
      <w:r>
        <w:t xml:space="preserve"> (Lombardia): per gli artificiali ok mantenimento degli EQB </w:t>
      </w:r>
      <w:r w:rsidR="00707079">
        <w:t xml:space="preserve">solo </w:t>
      </w:r>
      <w:r>
        <w:t>se le stazioni appartengono alla Rete Nitrati; in effetti i CIA hanno una funzione ben precisa,</w:t>
      </w:r>
      <w:r w:rsidR="0003562F">
        <w:t xml:space="preserve"> principalmente</w:t>
      </w:r>
      <w:r>
        <w:t xml:space="preserve"> di dreno delle acque e </w:t>
      </w:r>
      <w:r w:rsidR="0003562F">
        <w:t>non sono solitamente previsti interventi/spese per un loro miglioramento morfologico</w:t>
      </w:r>
      <w:r w:rsidR="00024ACE">
        <w:t xml:space="preserve">, quindi nulle </w:t>
      </w:r>
      <w:r w:rsidR="00AC661B">
        <w:t xml:space="preserve">le </w:t>
      </w:r>
      <w:r w:rsidR="00024ACE">
        <w:t>possibilità di recupero</w:t>
      </w:r>
      <w:r w:rsidR="0003562F">
        <w:t>.</w:t>
      </w:r>
    </w:p>
    <w:p w14:paraId="26D5BA6C" w14:textId="72C34374" w:rsidR="0003562F" w:rsidRDefault="0003562F" w:rsidP="00974672">
      <w:pPr>
        <w:jc w:val="both"/>
      </w:pPr>
      <w:r w:rsidRPr="00061601">
        <w:rPr>
          <w:b/>
        </w:rPr>
        <w:t>Daniela Lucchini</w:t>
      </w:r>
      <w:r>
        <w:t xml:space="preserve"> (Emilia-Romagna): sui canali (CIA) non si sono mai monitorati gli EQB, di recente introdotte le diatomee bentoniche per parte delle stazioni che fanno parte della Rete Nitrati.</w:t>
      </w:r>
    </w:p>
    <w:p w14:paraId="142895A8" w14:textId="10DB2680" w:rsidR="003B0B1A" w:rsidRPr="003B0B1A" w:rsidRDefault="003B0B1A" w:rsidP="003B0B1A">
      <w:pPr>
        <w:jc w:val="both"/>
      </w:pPr>
      <w:r w:rsidRPr="00061601">
        <w:rPr>
          <w:b/>
        </w:rPr>
        <w:t>Antonietta Fiorenza</w:t>
      </w:r>
      <w:r>
        <w:t xml:space="preserve"> (Piemonte): è stata valuta</w:t>
      </w:r>
      <w:r w:rsidRPr="003B0B1A">
        <w:t>ta la possibilità di non considerare il monitoraggio dei canali nell'ambito della sottore</w:t>
      </w:r>
      <w:r>
        <w:t>te nitrati perché</w:t>
      </w:r>
      <w:r w:rsidRPr="003B0B1A">
        <w:t xml:space="preserve"> non rappresentativo ai fini della direttiva nitrati (flussi soggetti a manovre idrauliche e non sempre nella stessa direzione: usi per dreno/irrigazione/</w:t>
      </w:r>
      <w:proofErr w:type="spellStart"/>
      <w:r w:rsidRPr="003B0B1A">
        <w:t>vettoriamento</w:t>
      </w:r>
      <w:proofErr w:type="spellEnd"/>
      <w:r w:rsidRPr="003B0B1A">
        <w:t>).</w:t>
      </w:r>
    </w:p>
    <w:p w14:paraId="558E0918" w14:textId="2C3E242A" w:rsidR="0003562F" w:rsidRDefault="0003562F" w:rsidP="00974672">
      <w:pPr>
        <w:jc w:val="both"/>
      </w:pPr>
      <w:r w:rsidRPr="00061601">
        <w:rPr>
          <w:b/>
        </w:rPr>
        <w:t>Laura Tremolada</w:t>
      </w:r>
      <w:r>
        <w:t xml:space="preserve"> (Lombardia): si concorda sul non monitoraggio degli EQB </w:t>
      </w:r>
      <w:r w:rsidR="00AC661B">
        <w:t xml:space="preserve">per gli artificiali </w:t>
      </w:r>
      <w:r>
        <w:t xml:space="preserve">ma </w:t>
      </w:r>
      <w:r w:rsidR="003B32F3">
        <w:t>si ritiene che certe aste artificiali risultino significative nella Rete Nitrati.</w:t>
      </w:r>
    </w:p>
    <w:p w14:paraId="66FE2E88" w14:textId="77777777" w:rsidR="00AC661B" w:rsidRDefault="00AC661B" w:rsidP="00974672">
      <w:pPr>
        <w:jc w:val="both"/>
      </w:pPr>
    </w:p>
    <w:p w14:paraId="2CE56C84" w14:textId="1FE56D5A" w:rsidR="00F43DAD" w:rsidRDefault="003B32F3" w:rsidP="00974672">
      <w:pPr>
        <w:jc w:val="both"/>
      </w:pPr>
      <w:r w:rsidRPr="00FF24D7">
        <w:rPr>
          <w:b/>
          <w:i/>
        </w:rPr>
        <w:t>Paolo Spezzani</w:t>
      </w:r>
      <w:r>
        <w:t xml:space="preserve"> (Emilia-Romagna): per sollecitare e facilitare</w:t>
      </w:r>
      <w:r w:rsidRPr="003B32F3">
        <w:t xml:space="preserve"> il compito</w:t>
      </w:r>
      <w:r>
        <w:t xml:space="preserve"> in merito alle osservazioni e proposte da parte dei componenti del tavolo</w:t>
      </w:r>
      <w:r w:rsidR="00FF24D7">
        <w:t>, anche di quelli non presenti alla riunione</w:t>
      </w:r>
      <w:r>
        <w:t>, sarà inviato</w:t>
      </w:r>
      <w:r w:rsidRPr="003B32F3">
        <w:t xml:space="preserve"> uno specchietto riassuntivo delle questioni poste, con gli spazi per i commenti ad esse e anche per altre osservazioni, sperando di averne un significativo ritorno, che sarebbe di aiuto </w:t>
      </w:r>
      <w:r>
        <w:t>per il proseguimento del lavoro, cioè le correzioni/integrazioni alle LG</w:t>
      </w:r>
      <w:r w:rsidRPr="003B32F3">
        <w:t xml:space="preserve"> ISPRA 116/2014</w:t>
      </w:r>
      <w:r w:rsidR="000C2D83">
        <w:t xml:space="preserve"> in merito al</w:t>
      </w:r>
      <w:r w:rsidR="006023E0">
        <w:t xml:space="preserve"> </w:t>
      </w:r>
      <w:r w:rsidR="00557C3D">
        <w:t>tema del monitoraggio e de</w:t>
      </w:r>
      <w:r w:rsidR="006023E0">
        <w:t xml:space="preserve">lla </w:t>
      </w:r>
      <w:r w:rsidRPr="003B32F3">
        <w:t>classificazione dei corpi idrici fortemente modificati (CIFM) e artificiali (CIA)</w:t>
      </w:r>
      <w:r w:rsidR="000C2D83">
        <w:t>, che nel 2014</w:t>
      </w:r>
      <w:r w:rsidRPr="003B32F3">
        <w:t xml:space="preserve"> non era </w:t>
      </w:r>
      <w:r w:rsidR="00557C3D">
        <w:t>stato</w:t>
      </w:r>
      <w:r w:rsidR="000C2D83">
        <w:t xml:space="preserve"> sicuramente </w:t>
      </w:r>
      <w:r w:rsidR="00557C3D">
        <w:t>affrontato</w:t>
      </w:r>
      <w:r w:rsidRPr="003B32F3">
        <w:t xml:space="preserve"> in maniera esaustiva</w:t>
      </w:r>
      <w:r w:rsidR="000C2D83">
        <w:t>.</w:t>
      </w:r>
    </w:p>
    <w:p w14:paraId="73176DF0" w14:textId="77777777" w:rsidR="00131F51" w:rsidRDefault="00131F51" w:rsidP="00974672">
      <w:pPr>
        <w:jc w:val="both"/>
      </w:pPr>
    </w:p>
    <w:p w14:paraId="3AFE9824" w14:textId="77777777" w:rsidR="003B32F3" w:rsidRDefault="003B32F3" w:rsidP="00974672">
      <w:pPr>
        <w:jc w:val="both"/>
      </w:pPr>
      <w:bookmarkStart w:id="0" w:name="_GoBack"/>
      <w:bookmarkEnd w:id="0"/>
    </w:p>
    <w:sectPr w:rsidR="003B32F3" w:rsidSect="004E6F7A"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CEAE1" w14:textId="77777777" w:rsidR="009D0B74" w:rsidRDefault="009D0B74" w:rsidP="0025023E">
      <w:pPr>
        <w:spacing w:after="0" w:line="240" w:lineRule="auto"/>
      </w:pPr>
      <w:r>
        <w:separator/>
      </w:r>
    </w:p>
  </w:endnote>
  <w:endnote w:type="continuationSeparator" w:id="0">
    <w:p w14:paraId="547FE906" w14:textId="77777777" w:rsidR="009D0B74" w:rsidRDefault="009D0B74" w:rsidP="0025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580402"/>
      <w:docPartObj>
        <w:docPartGallery w:val="Page Numbers (Bottom of Page)"/>
        <w:docPartUnique/>
      </w:docPartObj>
    </w:sdtPr>
    <w:sdtEndPr/>
    <w:sdtContent>
      <w:p w14:paraId="22F70488" w14:textId="77777777" w:rsidR="00BE217C" w:rsidRDefault="00BE21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F3">
          <w:rPr>
            <w:noProof/>
          </w:rPr>
          <w:t>3</w:t>
        </w:r>
        <w:r>
          <w:fldChar w:fldCharType="end"/>
        </w:r>
      </w:p>
    </w:sdtContent>
  </w:sdt>
  <w:p w14:paraId="79759F6F" w14:textId="77777777" w:rsidR="00BE217C" w:rsidRDefault="00BE21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5E63B" w14:textId="77777777" w:rsidR="009D0B74" w:rsidRDefault="009D0B74" w:rsidP="0025023E">
      <w:pPr>
        <w:spacing w:after="0" w:line="240" w:lineRule="auto"/>
      </w:pPr>
      <w:r>
        <w:separator/>
      </w:r>
    </w:p>
  </w:footnote>
  <w:footnote w:type="continuationSeparator" w:id="0">
    <w:p w14:paraId="4D5FD8E6" w14:textId="77777777" w:rsidR="009D0B74" w:rsidRDefault="009D0B74" w:rsidP="00250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078"/>
    <w:multiLevelType w:val="hybridMultilevel"/>
    <w:tmpl w:val="C1A6B2AC"/>
    <w:lvl w:ilvl="0" w:tplc="9B128D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B08"/>
    <w:multiLevelType w:val="hybridMultilevel"/>
    <w:tmpl w:val="1D6E8890"/>
    <w:lvl w:ilvl="0" w:tplc="075EF9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727170"/>
    <w:multiLevelType w:val="hybridMultilevel"/>
    <w:tmpl w:val="6972D18E"/>
    <w:lvl w:ilvl="0" w:tplc="1CA65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7A5"/>
    <w:multiLevelType w:val="hybridMultilevel"/>
    <w:tmpl w:val="D722D896"/>
    <w:lvl w:ilvl="0" w:tplc="A718D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C1A"/>
    <w:multiLevelType w:val="hybridMultilevel"/>
    <w:tmpl w:val="AE66EBF8"/>
    <w:lvl w:ilvl="0" w:tplc="95648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C267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A2B5F"/>
    <w:multiLevelType w:val="hybridMultilevel"/>
    <w:tmpl w:val="7A72F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A3438"/>
    <w:multiLevelType w:val="hybridMultilevel"/>
    <w:tmpl w:val="ACB29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1A"/>
    <w:rsid w:val="00000EA7"/>
    <w:rsid w:val="0000158C"/>
    <w:rsid w:val="000059D5"/>
    <w:rsid w:val="00010AF3"/>
    <w:rsid w:val="00021E03"/>
    <w:rsid w:val="00024ACE"/>
    <w:rsid w:val="0002549B"/>
    <w:rsid w:val="00033B9B"/>
    <w:rsid w:val="0003491C"/>
    <w:rsid w:val="0003562F"/>
    <w:rsid w:val="00036DC6"/>
    <w:rsid w:val="0005165A"/>
    <w:rsid w:val="000556C0"/>
    <w:rsid w:val="00061601"/>
    <w:rsid w:val="00086758"/>
    <w:rsid w:val="00091360"/>
    <w:rsid w:val="00092FDF"/>
    <w:rsid w:val="000A45D9"/>
    <w:rsid w:val="000C06CE"/>
    <w:rsid w:val="000C2BE0"/>
    <w:rsid w:val="000C2D83"/>
    <w:rsid w:val="000D55AE"/>
    <w:rsid w:val="000E6F25"/>
    <w:rsid w:val="000F3D9D"/>
    <w:rsid w:val="00105E72"/>
    <w:rsid w:val="00122DDD"/>
    <w:rsid w:val="00131612"/>
    <w:rsid w:val="00131F51"/>
    <w:rsid w:val="00140656"/>
    <w:rsid w:val="00147836"/>
    <w:rsid w:val="00150DCE"/>
    <w:rsid w:val="00152DF3"/>
    <w:rsid w:val="00165FD6"/>
    <w:rsid w:val="0018262B"/>
    <w:rsid w:val="00183BA2"/>
    <w:rsid w:val="00196067"/>
    <w:rsid w:val="001A1724"/>
    <w:rsid w:val="001D1CF3"/>
    <w:rsid w:val="001D3FCF"/>
    <w:rsid w:val="001E02F6"/>
    <w:rsid w:val="001E2255"/>
    <w:rsid w:val="001E2BB2"/>
    <w:rsid w:val="001E5ABB"/>
    <w:rsid w:val="001E5B35"/>
    <w:rsid w:val="001F5386"/>
    <w:rsid w:val="0020185E"/>
    <w:rsid w:val="002036F9"/>
    <w:rsid w:val="002273CC"/>
    <w:rsid w:val="00232745"/>
    <w:rsid w:val="00232BF5"/>
    <w:rsid w:val="0023377F"/>
    <w:rsid w:val="00241E08"/>
    <w:rsid w:val="00245071"/>
    <w:rsid w:val="0025023E"/>
    <w:rsid w:val="00252506"/>
    <w:rsid w:val="00254998"/>
    <w:rsid w:val="00262DD0"/>
    <w:rsid w:val="002670DE"/>
    <w:rsid w:val="002716D4"/>
    <w:rsid w:val="00272A61"/>
    <w:rsid w:val="002869A0"/>
    <w:rsid w:val="002A25B5"/>
    <w:rsid w:val="002B0BD2"/>
    <w:rsid w:val="002B56E2"/>
    <w:rsid w:val="002C484A"/>
    <w:rsid w:val="002C7ABE"/>
    <w:rsid w:val="002D0245"/>
    <w:rsid w:val="00306909"/>
    <w:rsid w:val="003127FB"/>
    <w:rsid w:val="00312D96"/>
    <w:rsid w:val="003356BF"/>
    <w:rsid w:val="00341BD0"/>
    <w:rsid w:val="00342AAD"/>
    <w:rsid w:val="00353231"/>
    <w:rsid w:val="00354677"/>
    <w:rsid w:val="00364478"/>
    <w:rsid w:val="00380A6A"/>
    <w:rsid w:val="003A1FBF"/>
    <w:rsid w:val="003B0B1A"/>
    <w:rsid w:val="003B32F3"/>
    <w:rsid w:val="003E45AB"/>
    <w:rsid w:val="003F271E"/>
    <w:rsid w:val="003F67FB"/>
    <w:rsid w:val="00402CA4"/>
    <w:rsid w:val="00416291"/>
    <w:rsid w:val="00420345"/>
    <w:rsid w:val="00432F32"/>
    <w:rsid w:val="00433B3B"/>
    <w:rsid w:val="00443F03"/>
    <w:rsid w:val="00451692"/>
    <w:rsid w:val="00456168"/>
    <w:rsid w:val="00456D70"/>
    <w:rsid w:val="004601FF"/>
    <w:rsid w:val="00465E82"/>
    <w:rsid w:val="0047193A"/>
    <w:rsid w:val="00472AB9"/>
    <w:rsid w:val="004809CA"/>
    <w:rsid w:val="00480ADA"/>
    <w:rsid w:val="004849DA"/>
    <w:rsid w:val="004902AB"/>
    <w:rsid w:val="00495EB0"/>
    <w:rsid w:val="004B6F87"/>
    <w:rsid w:val="004C4DA4"/>
    <w:rsid w:val="004C5880"/>
    <w:rsid w:val="004D5E21"/>
    <w:rsid w:val="004D6A3C"/>
    <w:rsid w:val="004E6F7A"/>
    <w:rsid w:val="00513147"/>
    <w:rsid w:val="00522E7C"/>
    <w:rsid w:val="00546524"/>
    <w:rsid w:val="00552829"/>
    <w:rsid w:val="00555CB5"/>
    <w:rsid w:val="00557C3D"/>
    <w:rsid w:val="0057071C"/>
    <w:rsid w:val="0058169C"/>
    <w:rsid w:val="00590FC3"/>
    <w:rsid w:val="00596AB5"/>
    <w:rsid w:val="005B0D03"/>
    <w:rsid w:val="005E6DDD"/>
    <w:rsid w:val="006023E0"/>
    <w:rsid w:val="006026FF"/>
    <w:rsid w:val="006051E0"/>
    <w:rsid w:val="0060780E"/>
    <w:rsid w:val="00607DD3"/>
    <w:rsid w:val="006230A4"/>
    <w:rsid w:val="0062642F"/>
    <w:rsid w:val="00630493"/>
    <w:rsid w:val="006358C3"/>
    <w:rsid w:val="006359B5"/>
    <w:rsid w:val="00636713"/>
    <w:rsid w:val="006413E3"/>
    <w:rsid w:val="006522BB"/>
    <w:rsid w:val="00655C45"/>
    <w:rsid w:val="006665AC"/>
    <w:rsid w:val="006677A2"/>
    <w:rsid w:val="00670D98"/>
    <w:rsid w:val="00673885"/>
    <w:rsid w:val="00673DE8"/>
    <w:rsid w:val="00687220"/>
    <w:rsid w:val="006A12A7"/>
    <w:rsid w:val="006A4305"/>
    <w:rsid w:val="006C5482"/>
    <w:rsid w:val="006D3D5F"/>
    <w:rsid w:val="006D5C95"/>
    <w:rsid w:val="00707079"/>
    <w:rsid w:val="00722697"/>
    <w:rsid w:val="00763EFF"/>
    <w:rsid w:val="00767A51"/>
    <w:rsid w:val="00770075"/>
    <w:rsid w:val="00780586"/>
    <w:rsid w:val="007911B3"/>
    <w:rsid w:val="007B19BC"/>
    <w:rsid w:val="007B41A9"/>
    <w:rsid w:val="007B4B9B"/>
    <w:rsid w:val="007B5CEF"/>
    <w:rsid w:val="007C4859"/>
    <w:rsid w:val="007D40D9"/>
    <w:rsid w:val="007D7BDF"/>
    <w:rsid w:val="00800504"/>
    <w:rsid w:val="008075A9"/>
    <w:rsid w:val="00814332"/>
    <w:rsid w:val="0082015F"/>
    <w:rsid w:val="008300F3"/>
    <w:rsid w:val="00840271"/>
    <w:rsid w:val="0084059A"/>
    <w:rsid w:val="00842CB7"/>
    <w:rsid w:val="0087128C"/>
    <w:rsid w:val="0087190D"/>
    <w:rsid w:val="00873E26"/>
    <w:rsid w:val="00877B68"/>
    <w:rsid w:val="008936AA"/>
    <w:rsid w:val="008941B7"/>
    <w:rsid w:val="008B1ACC"/>
    <w:rsid w:val="008B77E2"/>
    <w:rsid w:val="008C7625"/>
    <w:rsid w:val="008C7980"/>
    <w:rsid w:val="008D56DC"/>
    <w:rsid w:val="008E4EF2"/>
    <w:rsid w:val="008F5763"/>
    <w:rsid w:val="008F675A"/>
    <w:rsid w:val="008F7952"/>
    <w:rsid w:val="00901AEF"/>
    <w:rsid w:val="00910504"/>
    <w:rsid w:val="00927961"/>
    <w:rsid w:val="0094364C"/>
    <w:rsid w:val="00952D62"/>
    <w:rsid w:val="009618BB"/>
    <w:rsid w:val="00974672"/>
    <w:rsid w:val="0098504C"/>
    <w:rsid w:val="00992443"/>
    <w:rsid w:val="00996B41"/>
    <w:rsid w:val="009A7B74"/>
    <w:rsid w:val="009B4AF2"/>
    <w:rsid w:val="009B4F06"/>
    <w:rsid w:val="009D0B74"/>
    <w:rsid w:val="009D2F0A"/>
    <w:rsid w:val="009D4A97"/>
    <w:rsid w:val="009E2A8F"/>
    <w:rsid w:val="00A02BEE"/>
    <w:rsid w:val="00A16C37"/>
    <w:rsid w:val="00A2146C"/>
    <w:rsid w:val="00A409FF"/>
    <w:rsid w:val="00A41A75"/>
    <w:rsid w:val="00A42077"/>
    <w:rsid w:val="00A743C7"/>
    <w:rsid w:val="00A7518A"/>
    <w:rsid w:val="00A817DB"/>
    <w:rsid w:val="00A87449"/>
    <w:rsid w:val="00A91FDE"/>
    <w:rsid w:val="00A9708E"/>
    <w:rsid w:val="00AA39D1"/>
    <w:rsid w:val="00AC423B"/>
    <w:rsid w:val="00AC661B"/>
    <w:rsid w:val="00AE2765"/>
    <w:rsid w:val="00AE42FA"/>
    <w:rsid w:val="00AE6F02"/>
    <w:rsid w:val="00AF1E8D"/>
    <w:rsid w:val="00AF5B52"/>
    <w:rsid w:val="00B05B95"/>
    <w:rsid w:val="00B156F0"/>
    <w:rsid w:val="00B24F07"/>
    <w:rsid w:val="00B3188A"/>
    <w:rsid w:val="00B42C8D"/>
    <w:rsid w:val="00B42FC7"/>
    <w:rsid w:val="00B50518"/>
    <w:rsid w:val="00B5324A"/>
    <w:rsid w:val="00B5742F"/>
    <w:rsid w:val="00B64601"/>
    <w:rsid w:val="00B65C45"/>
    <w:rsid w:val="00B704B6"/>
    <w:rsid w:val="00B83550"/>
    <w:rsid w:val="00BA2444"/>
    <w:rsid w:val="00BD5A38"/>
    <w:rsid w:val="00BE0ED6"/>
    <w:rsid w:val="00BE1E7E"/>
    <w:rsid w:val="00BE217C"/>
    <w:rsid w:val="00BE34E7"/>
    <w:rsid w:val="00C03385"/>
    <w:rsid w:val="00C06ECA"/>
    <w:rsid w:val="00C140E9"/>
    <w:rsid w:val="00C2654B"/>
    <w:rsid w:val="00C47BC8"/>
    <w:rsid w:val="00C54235"/>
    <w:rsid w:val="00C54599"/>
    <w:rsid w:val="00C57DEA"/>
    <w:rsid w:val="00C61418"/>
    <w:rsid w:val="00C63283"/>
    <w:rsid w:val="00C8329F"/>
    <w:rsid w:val="00C84398"/>
    <w:rsid w:val="00C8440C"/>
    <w:rsid w:val="00C85437"/>
    <w:rsid w:val="00C86CFF"/>
    <w:rsid w:val="00C97A16"/>
    <w:rsid w:val="00CA315B"/>
    <w:rsid w:val="00CB4797"/>
    <w:rsid w:val="00CC4A84"/>
    <w:rsid w:val="00CC69E9"/>
    <w:rsid w:val="00CD7895"/>
    <w:rsid w:val="00D02090"/>
    <w:rsid w:val="00D03039"/>
    <w:rsid w:val="00D04503"/>
    <w:rsid w:val="00D049D7"/>
    <w:rsid w:val="00D16FBE"/>
    <w:rsid w:val="00D23871"/>
    <w:rsid w:val="00D30A78"/>
    <w:rsid w:val="00D35BEE"/>
    <w:rsid w:val="00D3711A"/>
    <w:rsid w:val="00D4321B"/>
    <w:rsid w:val="00D62B3D"/>
    <w:rsid w:val="00D64C3B"/>
    <w:rsid w:val="00D67E85"/>
    <w:rsid w:val="00D935E9"/>
    <w:rsid w:val="00DA7A0B"/>
    <w:rsid w:val="00DB0381"/>
    <w:rsid w:val="00DB42BA"/>
    <w:rsid w:val="00DB57F9"/>
    <w:rsid w:val="00DC1094"/>
    <w:rsid w:val="00DD0DD0"/>
    <w:rsid w:val="00DD31AD"/>
    <w:rsid w:val="00DD3959"/>
    <w:rsid w:val="00DF5578"/>
    <w:rsid w:val="00DF5B1D"/>
    <w:rsid w:val="00E01518"/>
    <w:rsid w:val="00E02DDA"/>
    <w:rsid w:val="00E15D4C"/>
    <w:rsid w:val="00E22996"/>
    <w:rsid w:val="00E23385"/>
    <w:rsid w:val="00E314C2"/>
    <w:rsid w:val="00E5140B"/>
    <w:rsid w:val="00E7564E"/>
    <w:rsid w:val="00E77877"/>
    <w:rsid w:val="00E8050C"/>
    <w:rsid w:val="00E85C03"/>
    <w:rsid w:val="00E96F3D"/>
    <w:rsid w:val="00ED5FC7"/>
    <w:rsid w:val="00EE1A79"/>
    <w:rsid w:val="00EE6A2C"/>
    <w:rsid w:val="00EF22AE"/>
    <w:rsid w:val="00EF5391"/>
    <w:rsid w:val="00F04D50"/>
    <w:rsid w:val="00F13617"/>
    <w:rsid w:val="00F43DAD"/>
    <w:rsid w:val="00F7155F"/>
    <w:rsid w:val="00F94A88"/>
    <w:rsid w:val="00F95E38"/>
    <w:rsid w:val="00FB17CF"/>
    <w:rsid w:val="00FC0F5D"/>
    <w:rsid w:val="00FC3D6B"/>
    <w:rsid w:val="00FD2167"/>
    <w:rsid w:val="00FE02BA"/>
    <w:rsid w:val="00FF0142"/>
    <w:rsid w:val="00FF24D7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FA12B"/>
  <w15:chartTrackingRefBased/>
  <w15:docId w15:val="{A1A66131-1DE2-471A-90ED-967134A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16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23E"/>
  </w:style>
  <w:style w:type="paragraph" w:styleId="Pidipagina">
    <w:name w:val="footer"/>
    <w:basedOn w:val="Normale"/>
    <w:link w:val="PidipaginaCarattere"/>
    <w:uiPriority w:val="99"/>
    <w:unhideWhenUsed/>
    <w:rsid w:val="00250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23E"/>
  </w:style>
  <w:style w:type="paragraph" w:styleId="Paragrafoelenco">
    <w:name w:val="List Paragraph"/>
    <w:basedOn w:val="Normale"/>
    <w:uiPriority w:val="34"/>
    <w:qFormat/>
    <w:rsid w:val="007D40D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51E0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3E45A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D62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Spezzani</dc:creator>
  <cp:keywords/>
  <dc:description/>
  <cp:lastModifiedBy>Paolo Spezzani</cp:lastModifiedBy>
  <cp:revision>41</cp:revision>
  <cp:lastPrinted>2022-12-06T12:03:00Z</cp:lastPrinted>
  <dcterms:created xsi:type="dcterms:W3CDTF">2022-12-08T16:02:00Z</dcterms:created>
  <dcterms:modified xsi:type="dcterms:W3CDTF">2023-07-03T06:22:00Z</dcterms:modified>
</cp:coreProperties>
</file>