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CC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9" w:lineRule="auto"/>
        <w:rPr>
          <w:rFonts w:ascii="Times" w:eastAsia="Times New Roman" w:hAnsi="Times" w:cs="Times"/>
          <w:b/>
          <w:bCs/>
          <w:color w:val="0070C0"/>
          <w:sz w:val="24"/>
          <w:szCs w:val="24"/>
          <w:lang w:eastAsia="it-IT"/>
        </w:rPr>
      </w:pPr>
      <w:r w:rsidRPr="00B828D1">
        <w:rPr>
          <w:rFonts w:ascii="Times" w:eastAsia="Times New Roman" w:hAnsi="Times" w:cs="Times"/>
          <w:b/>
          <w:bCs/>
          <w:color w:val="0070C0"/>
          <w:sz w:val="24"/>
          <w:szCs w:val="24"/>
          <w:lang w:eastAsia="it-IT"/>
        </w:rPr>
        <w:t>Sezione FAQ</w:t>
      </w:r>
      <w:r>
        <w:rPr>
          <w:rFonts w:ascii="Times" w:eastAsia="Times New Roman" w:hAnsi="Times" w:cs="Times"/>
          <w:b/>
          <w:bCs/>
          <w:color w:val="0070C0"/>
          <w:sz w:val="24"/>
          <w:szCs w:val="24"/>
          <w:lang w:eastAsia="it-IT"/>
        </w:rPr>
        <w:t xml:space="preserve"> – Acque superficiali interne</w:t>
      </w:r>
    </w:p>
    <w:p w:rsidR="00DE6CCC" w:rsidRPr="00B828D1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199" w:lineRule="auto"/>
        <w:ind w:left="1416"/>
        <w:rPr>
          <w:rFonts w:ascii="Times" w:eastAsia="Times New Roman" w:hAnsi="Times" w:cs="Times"/>
          <w:b/>
          <w:bCs/>
          <w:sz w:val="24"/>
          <w:szCs w:val="24"/>
          <w:lang w:eastAsia="it-IT"/>
        </w:rPr>
      </w:pPr>
    </w:p>
    <w:p w:rsidR="00DE6CCC" w:rsidRPr="005A0F6D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199" w:lineRule="auto"/>
        <w:ind w:left="567"/>
        <w:rPr>
          <w:rFonts w:ascii="Times" w:eastAsia="Times" w:hAnsi="Times" w:cs="Times"/>
          <w:b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IBRIDI</w:t>
      </w:r>
    </w:p>
    <w:p w:rsidR="00DE6CCC" w:rsidRPr="00B828D1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19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F72233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B828D1">
        <w:rPr>
          <w:rFonts w:ascii="Times" w:eastAsia="Times" w:hAnsi="Times" w:cs="Times"/>
          <w:color w:val="4472C4" w:themeColor="accent5"/>
        </w:rPr>
        <w:t>In caso di presenza di individui Ibridi come devo considerarli ai fini del campionamento?</w:t>
      </w:r>
    </w:p>
    <w:p w:rsidR="00DE6CCC" w:rsidRPr="00B828D1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199" w:lineRule="auto"/>
        <w:ind w:left="567"/>
        <w:jc w:val="both"/>
        <w:rPr>
          <w:rFonts w:ascii="Times" w:eastAsia="Times" w:hAnsi="Times" w:cs="Times"/>
          <w:color w:val="4472C4" w:themeColor="accent5"/>
        </w:rPr>
      </w:pPr>
      <w:r w:rsidRPr="00F72233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B828D1">
        <w:rPr>
          <w:rFonts w:ascii="Times" w:eastAsia="Times" w:hAnsi="Times" w:cs="Times"/>
          <w:color w:val="4472C4" w:themeColor="accent5"/>
        </w:rPr>
        <w:t>E’ possibile prelevare specie ibridate trattando la stessa come il congenere assegnando lo stesso livello trofico.</w:t>
      </w:r>
    </w:p>
    <w:p w:rsidR="00DE6CCC" w:rsidRPr="005A0F6D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199" w:lineRule="auto"/>
        <w:ind w:left="567"/>
        <w:rPr>
          <w:rFonts w:ascii="Times" w:eastAsia="Times" w:hAnsi="Times" w:cs="Times"/>
          <w:b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CAMPIONAMENTO</w:t>
      </w:r>
    </w:p>
    <w:p w:rsidR="00DE6CCC" w:rsidRPr="00B828D1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19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B828D1">
        <w:rPr>
          <w:rFonts w:ascii="Times" w:eastAsia="Times" w:hAnsi="Times" w:cs="Times"/>
          <w:color w:val="4472C4" w:themeColor="accent5"/>
        </w:rPr>
        <w:t>E’ possibile campionare il biota svincolandolo dal campionamento dell’EQB Fauna ittica?</w:t>
      </w:r>
    </w:p>
    <w:p w:rsidR="00DE6CCC" w:rsidRPr="00B828D1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199" w:lineRule="auto"/>
        <w:ind w:left="567"/>
        <w:jc w:val="both"/>
        <w:rPr>
          <w:rFonts w:eastAsia="Times New Roman" w:cstheme="minorHAnsi"/>
          <w:color w:val="0070C0"/>
          <w:sz w:val="24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B828D1">
        <w:rPr>
          <w:rFonts w:ascii="Times" w:eastAsia="Times" w:hAnsi="Times" w:cs="Times"/>
          <w:color w:val="4472C4" w:themeColor="accent5"/>
        </w:rPr>
        <w:t xml:space="preserve">Per le acque superficiali interne, nei casi in cui non sia possibile armonizzare i programmi di monitoraggio per lo stato chimico sul biota con quelli dello stato ecologico, il campionamento può essere effettuato svincolandolo da quello finalizzato al campionamento dell’EQB Fauna ittica. Ciò è valido anche per i C.I. fluviali </w:t>
      </w:r>
      <w:proofErr w:type="spellStart"/>
      <w:r w:rsidRPr="00B828D1">
        <w:rPr>
          <w:rFonts w:ascii="Times" w:eastAsia="Times" w:hAnsi="Times" w:cs="Times"/>
          <w:color w:val="4472C4" w:themeColor="accent5"/>
        </w:rPr>
        <w:t>semiguadabili</w:t>
      </w:r>
      <w:proofErr w:type="spellEnd"/>
      <w:r w:rsidRPr="00B828D1">
        <w:rPr>
          <w:rFonts w:ascii="Times" w:eastAsia="Times" w:hAnsi="Times" w:cs="Times"/>
          <w:color w:val="4472C4" w:themeColor="accent5"/>
        </w:rPr>
        <w:t xml:space="preserve"> (C.I. SG) o non guadabili (C.I. NG), per i quali attualmente il campionamento dell’EQB Fauna ittica non è </w:t>
      </w:r>
      <w:r>
        <w:rPr>
          <w:rFonts w:ascii="Times" w:eastAsia="Times" w:hAnsi="Times" w:cs="Times"/>
          <w:color w:val="FF0000"/>
        </w:rPr>
        <w:t>ancora stato definito</w:t>
      </w:r>
      <w:r w:rsidRPr="00B828D1">
        <w:rPr>
          <w:rFonts w:ascii="Times" w:eastAsia="Times" w:hAnsi="Times" w:cs="Times"/>
          <w:color w:val="4472C4" w:themeColor="accent5"/>
        </w:rPr>
        <w:t>.</w:t>
      </w:r>
      <w:r w:rsidRPr="00B828D1">
        <w:rPr>
          <w:rFonts w:eastAsia="Times New Roman" w:cstheme="minorHAnsi"/>
          <w:color w:val="0070C0"/>
          <w:sz w:val="24"/>
          <w:szCs w:val="24"/>
          <w:lang w:eastAsia="it-IT"/>
        </w:rPr>
        <w:tab/>
      </w:r>
    </w:p>
    <w:p w:rsidR="00DE6CCC" w:rsidRPr="005A0F6D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67"/>
        <w:rPr>
          <w:rFonts w:ascii="Times" w:eastAsia="Times" w:hAnsi="Times" w:cs="Times"/>
          <w:b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SPECIE</w:t>
      </w:r>
    </w:p>
    <w:p w:rsidR="00DE6CCC" w:rsidRPr="00F72233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120" w:line="19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 w:rsidRPr="00F72233">
        <w:rPr>
          <w:rFonts w:ascii="Times" w:eastAsia="Times" w:hAnsi="Times" w:cs="Times"/>
          <w:color w:val="4472C4" w:themeColor="accent5"/>
        </w:rPr>
        <w:t xml:space="preserve"> Come deve essere composto (età e numero di esemplari) il campione biota pesci? </w:t>
      </w:r>
    </w:p>
    <w:p w:rsidR="00DE6CCC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67"/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</w:pPr>
      <w:r w:rsidRPr="005A0F6D">
        <w:rPr>
          <w:rFonts w:ascii="Times" w:eastAsia="Times" w:hAnsi="Times" w:cs="Times"/>
          <w:b/>
          <w:color w:val="4472C4" w:themeColor="accent5"/>
          <w:position w:val="-1"/>
          <w:szCs w:val="24"/>
          <w:lang w:eastAsia="it-IT"/>
        </w:rPr>
        <w:t>R.</w:t>
      </w:r>
      <w:r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 xml:space="preserve"> Il numero di individui</w:t>
      </w:r>
      <w:r w:rsidRPr="00724CAB"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 xml:space="preserve"> </w:t>
      </w:r>
      <w:r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>da prelevare per ciascun campione è compreso tra 3 e 10 e la classe di età va dai 2+. (Paragrafo 1.2.2)</w:t>
      </w:r>
    </w:p>
    <w:p w:rsidR="00DE6CCC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07620B">
        <w:rPr>
          <w:rFonts w:ascii="Times" w:eastAsia="Times" w:hAnsi="Times" w:cs="Times"/>
          <w:color w:val="4472C4" w:themeColor="accent5"/>
        </w:rPr>
        <w:t xml:space="preserve">Quali </w:t>
      </w:r>
      <w:r>
        <w:rPr>
          <w:rFonts w:ascii="Times" w:eastAsia="Times" w:hAnsi="Times" w:cs="Times"/>
          <w:color w:val="4472C4" w:themeColor="accent5"/>
        </w:rPr>
        <w:t xml:space="preserve">sono le </w:t>
      </w:r>
      <w:r w:rsidRPr="0007620B">
        <w:rPr>
          <w:rFonts w:ascii="Times" w:eastAsia="Times" w:hAnsi="Times" w:cs="Times"/>
          <w:color w:val="4472C4" w:themeColor="accent5"/>
        </w:rPr>
        <w:t xml:space="preserve">specie </w:t>
      </w:r>
      <w:r>
        <w:rPr>
          <w:rFonts w:ascii="Times" w:eastAsia="Times" w:hAnsi="Times" w:cs="Times"/>
          <w:color w:val="4472C4" w:themeColor="accent5"/>
        </w:rPr>
        <w:t xml:space="preserve">che </w:t>
      </w:r>
      <w:r w:rsidRPr="0007620B">
        <w:rPr>
          <w:rFonts w:ascii="Times" w:eastAsia="Times" w:hAnsi="Times" w:cs="Times"/>
          <w:color w:val="4472C4" w:themeColor="accent5"/>
        </w:rPr>
        <w:t>posso prelevare?</w:t>
      </w:r>
    </w:p>
    <w:p w:rsidR="00DE6CCC" w:rsidRPr="00406596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" w:line="217" w:lineRule="auto"/>
        <w:ind w:left="567" w:firstLine="19"/>
        <w:jc w:val="both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Le specie autoctone e alloctone elencate in </w:t>
      </w:r>
      <w:r w:rsidRPr="0007620B">
        <w:rPr>
          <w:rFonts w:ascii="Times" w:eastAsia="Times" w:hAnsi="Times" w:cs="Times"/>
          <w:color w:val="4472C4" w:themeColor="accent5"/>
        </w:rPr>
        <w:t xml:space="preserve">Tabella 1.2 - Elenco delle specie presenti nei corpi idrici italiani suggerite per il monitoraggio </w:t>
      </w:r>
      <w:r>
        <w:rPr>
          <w:rFonts w:ascii="Times" w:eastAsia="Times" w:hAnsi="Times" w:cs="Times"/>
          <w:color w:val="4472C4" w:themeColor="accent5"/>
        </w:rPr>
        <w:t>e 1.2 e i</w:t>
      </w:r>
      <w:r w:rsidRPr="00406596">
        <w:rPr>
          <w:rFonts w:ascii="Times" w:eastAsia="Times" w:hAnsi="Times" w:cs="Times"/>
          <w:color w:val="4472C4" w:themeColor="accent5"/>
        </w:rPr>
        <w:t xml:space="preserve">n appendice </w:t>
      </w:r>
      <w:r>
        <w:rPr>
          <w:rFonts w:ascii="Times" w:eastAsia="Times" w:hAnsi="Times" w:cs="Times"/>
          <w:color w:val="4472C4" w:themeColor="accent5"/>
        </w:rPr>
        <w:t>nel</w:t>
      </w:r>
      <w:r w:rsidRPr="00406596">
        <w:rPr>
          <w:rFonts w:ascii="Times" w:eastAsia="Times" w:hAnsi="Times" w:cs="Times"/>
          <w:color w:val="4472C4" w:themeColor="accent5"/>
        </w:rPr>
        <w:t xml:space="preserve">la </w:t>
      </w:r>
      <w:proofErr w:type="spellStart"/>
      <w:r w:rsidRPr="00406596">
        <w:rPr>
          <w:rFonts w:ascii="Times" w:eastAsia="Times" w:hAnsi="Times" w:cs="Times"/>
          <w:color w:val="4472C4" w:themeColor="accent5"/>
        </w:rPr>
        <w:t>Check</w:t>
      </w:r>
      <w:proofErr w:type="spellEnd"/>
      <w:r w:rsidRPr="00406596">
        <w:rPr>
          <w:rFonts w:ascii="Times" w:eastAsia="Times" w:hAnsi="Times" w:cs="Times"/>
          <w:color w:val="4472C4" w:themeColor="accent5"/>
        </w:rPr>
        <w:t>-list completa delle specie idonee suddivise per Zonazione ittica, Ordine, Ambiente fluviale o lacustre, origine e livello trofico</w:t>
      </w:r>
      <w:r>
        <w:rPr>
          <w:rFonts w:ascii="Times" w:eastAsia="Times" w:hAnsi="Times" w:cs="Times"/>
          <w:color w:val="4472C4" w:themeColor="accent5"/>
        </w:rPr>
        <w:t>.</w:t>
      </w:r>
    </w:p>
    <w:p w:rsidR="00DE6CCC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19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Nei casi in cui non ho disponibilità di specie elencate in tabella 1.2, posso prelevare s</w:t>
      </w:r>
      <w:r w:rsidRPr="00B37CDE">
        <w:rPr>
          <w:rFonts w:ascii="Times" w:eastAsia="Times" w:hAnsi="Times" w:cs="Times"/>
          <w:color w:val="4472C4" w:themeColor="accent5"/>
        </w:rPr>
        <w:t xml:space="preserve">pecie protette </w:t>
      </w:r>
      <w:r>
        <w:rPr>
          <w:rFonts w:ascii="Times" w:eastAsia="Times" w:hAnsi="Times" w:cs="Times"/>
          <w:color w:val="4472C4" w:themeColor="accent5"/>
        </w:rPr>
        <w:t xml:space="preserve">inserite in </w:t>
      </w:r>
      <w:r w:rsidRPr="0007620B">
        <w:rPr>
          <w:rFonts w:ascii="Times" w:eastAsia="Times" w:hAnsi="Times" w:cs="Times"/>
          <w:color w:val="4472C4" w:themeColor="accent5"/>
        </w:rPr>
        <w:t>Allegato II Direttiva Habitat</w:t>
      </w:r>
      <w:r w:rsidRPr="00B37CDE">
        <w:rPr>
          <w:rFonts w:ascii="Times" w:eastAsia="Times" w:hAnsi="Times" w:cs="Times"/>
          <w:color w:val="4472C4" w:themeColor="accent5"/>
        </w:rPr>
        <w:t xml:space="preserve">? </w:t>
      </w:r>
    </w:p>
    <w:p w:rsidR="00DE6CCC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199" w:lineRule="auto"/>
        <w:ind w:left="567"/>
        <w:jc w:val="both"/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</w:pPr>
      <w:r w:rsidRPr="005A0F6D">
        <w:rPr>
          <w:rFonts w:ascii="Times" w:eastAsia="Times" w:hAnsi="Times" w:cs="Times"/>
          <w:b/>
          <w:color w:val="4472C4" w:themeColor="accent5"/>
          <w:position w:val="-1"/>
          <w:szCs w:val="24"/>
          <w:lang w:eastAsia="it-IT"/>
        </w:rPr>
        <w:t>R.</w:t>
      </w:r>
      <w:r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 xml:space="preserve"> </w:t>
      </w:r>
      <w:r w:rsidRPr="0007620B"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 xml:space="preserve">E’ necessario uno studio di incidenza previsto per tutte le attività con possibile impatto su specie di interesse </w:t>
      </w:r>
      <w:proofErr w:type="spellStart"/>
      <w:r w:rsidRPr="0007620B"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>conservazionistico</w:t>
      </w:r>
      <w:proofErr w:type="spellEnd"/>
      <w:r w:rsidRPr="0007620B">
        <w:rPr>
          <w:rFonts w:ascii="Times" w:eastAsia="Times" w:hAnsi="Times" w:cs="Times"/>
          <w:color w:val="4472C4" w:themeColor="accent5"/>
          <w:position w:val="-1"/>
          <w:szCs w:val="24"/>
          <w:lang w:eastAsia="it-IT"/>
        </w:rPr>
        <w:t xml:space="preserve"> per le stazioni della rete biota in cui si ritiene necessario usare queste specie per la raccolta del campione, sia per quelle comprese in siti Rete Natura 2000 che all’esterno. </w:t>
      </w:r>
    </w:p>
    <w:p w:rsidR="00DE6CCC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199" w:lineRule="auto"/>
        <w:ind w:left="567" w:hanging="35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Quali specie ittiche non sono ammesse per il campionamento del biota?</w:t>
      </w:r>
    </w:p>
    <w:p w:rsidR="00DE6CCC" w:rsidRPr="00007C3A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0" w:line="199" w:lineRule="auto"/>
        <w:ind w:left="567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007C3A">
        <w:rPr>
          <w:rFonts w:ascii="Times" w:eastAsia="Times" w:hAnsi="Times" w:cs="Times"/>
          <w:color w:val="4472C4" w:themeColor="accent5"/>
        </w:rPr>
        <w:t>Non sono ammesse specie:</w:t>
      </w:r>
    </w:p>
    <w:p w:rsidR="00DE6CCC" w:rsidRPr="00007C3A" w:rsidRDefault="00DE6CCC" w:rsidP="004510A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993"/>
        <w:jc w:val="both"/>
        <w:outlineLvl w:val="0"/>
        <w:rPr>
          <w:rFonts w:ascii="Times" w:eastAsia="Times" w:hAnsi="Times" w:cs="Times"/>
          <w:color w:val="4472C4" w:themeColor="accent5"/>
        </w:rPr>
      </w:pPr>
      <w:bookmarkStart w:id="0" w:name="_GoBack"/>
      <w:r w:rsidRPr="00007C3A">
        <w:rPr>
          <w:rFonts w:ascii="Times" w:eastAsia="Times" w:hAnsi="Times" w:cs="Times"/>
          <w:color w:val="4472C4" w:themeColor="accent5"/>
        </w:rPr>
        <w:t>Poco diffuse sul territorio nazionale e specifiche di determinati siti a livello regionale</w:t>
      </w:r>
      <w:r>
        <w:rPr>
          <w:rFonts w:ascii="Times" w:eastAsia="Times" w:hAnsi="Times" w:cs="Times"/>
          <w:color w:val="4472C4" w:themeColor="accent5"/>
        </w:rPr>
        <w:t>;</w:t>
      </w:r>
    </w:p>
    <w:p w:rsidR="00DE6CCC" w:rsidRPr="00007C3A" w:rsidRDefault="00DE6CCC" w:rsidP="004510A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993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007C3A">
        <w:rPr>
          <w:rFonts w:ascii="Times" w:eastAsia="Times" w:hAnsi="Times" w:cs="Times"/>
          <w:color w:val="4472C4" w:themeColor="accent5"/>
        </w:rPr>
        <w:t>Che da classificazione IUCN sono categorizzate da specie NT (Quasi minacciata) a EW (Estinta in ambiente selvatico)</w:t>
      </w:r>
      <w:r>
        <w:rPr>
          <w:rFonts w:ascii="Times" w:eastAsia="Times" w:hAnsi="Times" w:cs="Times"/>
          <w:color w:val="4472C4" w:themeColor="accent5"/>
        </w:rPr>
        <w:t>;</w:t>
      </w:r>
    </w:p>
    <w:p w:rsidR="00DE6CCC" w:rsidRDefault="00DE6CCC" w:rsidP="004510A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993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007C3A">
        <w:rPr>
          <w:rFonts w:ascii="Times" w:eastAsia="Times" w:hAnsi="Times" w:cs="Times"/>
          <w:color w:val="4472C4" w:themeColor="accent5"/>
        </w:rPr>
        <w:t xml:space="preserve">Che sono presenti negli </w:t>
      </w:r>
      <w:r>
        <w:rPr>
          <w:rFonts w:ascii="Times" w:eastAsia="Times" w:hAnsi="Times" w:cs="Times"/>
          <w:color w:val="4472C4" w:themeColor="accent5"/>
        </w:rPr>
        <w:t xml:space="preserve">Allegati 2 </w:t>
      </w:r>
      <w:r w:rsidRPr="00007C3A">
        <w:rPr>
          <w:rFonts w:ascii="Times" w:eastAsia="Times" w:hAnsi="Times" w:cs="Times"/>
          <w:color w:val="4472C4" w:themeColor="accent5"/>
        </w:rPr>
        <w:t>e 5 direttiva Habitat 92/43/CEE</w:t>
      </w:r>
      <w:r>
        <w:rPr>
          <w:rFonts w:ascii="Times" w:eastAsia="Times" w:hAnsi="Times" w:cs="Times"/>
          <w:color w:val="4472C4" w:themeColor="accent5"/>
        </w:rPr>
        <w:t>;</w:t>
      </w:r>
    </w:p>
    <w:p w:rsidR="00DE6CCC" w:rsidRDefault="00DE6CCC" w:rsidP="004510A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993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007C3A">
        <w:rPr>
          <w:rFonts w:ascii="Times" w:eastAsia="Times" w:hAnsi="Times" w:cs="Times"/>
          <w:color w:val="4472C4" w:themeColor="accent5"/>
        </w:rPr>
        <w:t xml:space="preserve">Immesse </w:t>
      </w:r>
      <w:r>
        <w:rPr>
          <w:rFonts w:ascii="Times" w:eastAsia="Times" w:hAnsi="Times" w:cs="Times"/>
          <w:color w:val="4472C4" w:themeColor="accent5"/>
        </w:rPr>
        <w:t xml:space="preserve">da meno di 5 anni dall’ultima </w:t>
      </w:r>
      <w:proofErr w:type="spellStart"/>
      <w:r>
        <w:rPr>
          <w:rFonts w:ascii="Times" w:eastAsia="Times" w:hAnsi="Times" w:cs="Times"/>
          <w:color w:val="4472C4" w:themeColor="accent5"/>
        </w:rPr>
        <w:t>reimissione</w:t>
      </w:r>
      <w:proofErr w:type="spellEnd"/>
      <w:r>
        <w:rPr>
          <w:rFonts w:ascii="Times" w:eastAsia="Times" w:hAnsi="Times" w:cs="Times"/>
          <w:color w:val="4472C4" w:themeColor="accent5"/>
        </w:rPr>
        <w:t>;</w:t>
      </w:r>
    </w:p>
    <w:p w:rsidR="00DE6CCC" w:rsidRDefault="00DE6CCC" w:rsidP="004510A6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199" w:lineRule="auto"/>
        <w:ind w:left="993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7A1C1F">
        <w:rPr>
          <w:rFonts w:ascii="Times" w:eastAsia="Times" w:hAnsi="Times" w:cs="Times"/>
          <w:color w:val="4472C4" w:themeColor="accent5"/>
        </w:rPr>
        <w:t>Che non rispettino gli standard di misura (età/dimensioni) e livello trofico.</w:t>
      </w:r>
    </w:p>
    <w:bookmarkEnd w:id="0"/>
    <w:p w:rsidR="00DE6CCC" w:rsidRPr="007A1C1F" w:rsidRDefault="00DE6CCC" w:rsidP="00DE6CCC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67"/>
        <w:rPr>
          <w:rFonts w:ascii="Times" w:eastAsia="Times" w:hAnsi="Times" w:cs="Times"/>
          <w:color w:val="4472C4" w:themeColor="accent5"/>
        </w:rPr>
      </w:pPr>
    </w:p>
    <w:p w:rsidR="00DE6CCC" w:rsidRPr="007A1C1F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199" w:lineRule="auto"/>
        <w:ind w:left="567" w:hanging="35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7A1C1F">
        <w:rPr>
          <w:rFonts w:ascii="Times" w:eastAsia="Times" w:hAnsi="Times" w:cs="Times"/>
          <w:color w:val="4472C4" w:themeColor="accent5"/>
        </w:rPr>
        <w:t>Se in un sito non trovo la specie campionata in precedenza, come devo procedere?</w:t>
      </w:r>
    </w:p>
    <w:p w:rsidR="00DE6CCC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left="567"/>
        <w:jc w:val="both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314553">
        <w:rPr>
          <w:rFonts w:ascii="Times" w:eastAsia="Times" w:hAnsi="Times" w:cs="Times"/>
          <w:color w:val="4472C4" w:themeColor="accent5"/>
        </w:rPr>
        <w:t xml:space="preserve">La specie campionata deve rimanere, per quanto possibile, invariata negli anni sul medesimo C.I. fluviale e lacustre. Nei casi in cui ciò non fosse possibile la specie campionata in </w:t>
      </w:r>
      <w:r>
        <w:rPr>
          <w:rFonts w:ascii="Times" w:eastAsia="Times" w:hAnsi="Times" w:cs="Times"/>
          <w:color w:val="4472C4" w:themeColor="accent5"/>
        </w:rPr>
        <w:t>a</w:t>
      </w:r>
      <w:r w:rsidRPr="00314553">
        <w:rPr>
          <w:rFonts w:ascii="Times" w:eastAsia="Times" w:hAnsi="Times" w:cs="Times"/>
          <w:color w:val="4472C4" w:themeColor="accent5"/>
        </w:rPr>
        <w:t xml:space="preserve">lternativa deve avere lo stesso livello trofico e la stessa taglia/età. </w:t>
      </w:r>
    </w:p>
    <w:p w:rsidR="00DE6CCC" w:rsidRPr="005A0F6D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left="567"/>
        <w:jc w:val="both"/>
        <w:rPr>
          <w:rFonts w:ascii="Times" w:eastAsia="Times" w:hAnsi="Times" w:cs="Times"/>
          <w:b/>
          <w:color w:val="4472C4" w:themeColor="accent5"/>
        </w:rPr>
      </w:pPr>
      <w:proofErr w:type="spellStart"/>
      <w:r w:rsidRPr="005A0F6D">
        <w:rPr>
          <w:rFonts w:ascii="Times" w:eastAsia="Times" w:hAnsi="Times" w:cs="Times"/>
          <w:b/>
          <w:color w:val="4472C4" w:themeColor="accent5"/>
        </w:rPr>
        <w:t>SQA</w:t>
      </w:r>
      <w:r w:rsidRPr="005A0F6D">
        <w:rPr>
          <w:rFonts w:ascii="Times" w:eastAsia="Times" w:hAnsi="Times" w:cs="Times"/>
          <w:b/>
          <w:color w:val="4472C4" w:themeColor="accent5"/>
          <w:vertAlign w:val="subscript"/>
        </w:rPr>
        <w:t>biota</w:t>
      </w:r>
      <w:proofErr w:type="spellEnd"/>
    </w:p>
    <w:p w:rsidR="00DE6CCC" w:rsidRPr="009A49A7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0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9A49A7">
        <w:rPr>
          <w:rFonts w:ascii="Times" w:eastAsia="Times" w:hAnsi="Times" w:cs="Times"/>
          <w:color w:val="4472C4" w:themeColor="accent5"/>
        </w:rPr>
        <w:t xml:space="preserve">Dove trovo i valori di </w:t>
      </w:r>
      <w:proofErr w:type="spellStart"/>
      <w:r w:rsidRPr="009A49A7">
        <w:rPr>
          <w:rFonts w:ascii="Times" w:eastAsia="Times" w:hAnsi="Times" w:cs="Times"/>
          <w:color w:val="4472C4" w:themeColor="accent5"/>
        </w:rPr>
        <w:t>SQA</w:t>
      </w:r>
      <w:r w:rsidRPr="009A49A7">
        <w:rPr>
          <w:rFonts w:ascii="Times" w:eastAsia="Times" w:hAnsi="Times" w:cs="Times"/>
          <w:color w:val="4472C4" w:themeColor="accent5"/>
          <w:vertAlign w:val="subscript"/>
        </w:rPr>
        <w:t>biota</w:t>
      </w:r>
      <w:proofErr w:type="spellEnd"/>
      <w:r w:rsidRPr="009A49A7">
        <w:rPr>
          <w:rFonts w:ascii="Times" w:eastAsia="Times" w:hAnsi="Times" w:cs="Times"/>
          <w:color w:val="4472C4" w:themeColor="accent5"/>
        </w:rPr>
        <w:t xml:space="preserve"> da applicare per il confronto con i limiti stabiliti dalla normativa?</w:t>
      </w:r>
    </w:p>
    <w:p w:rsidR="00DE6CCC" w:rsidRPr="009A49A7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left="567"/>
        <w:jc w:val="both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</w:t>
      </w:r>
      <w:r w:rsidRPr="009A49A7">
        <w:rPr>
          <w:rFonts w:ascii="Times" w:eastAsia="Times" w:hAnsi="Times" w:cs="Times"/>
          <w:color w:val="4472C4" w:themeColor="accent5"/>
        </w:rPr>
        <w:t xml:space="preserve">In Tabella 1.5 - </w:t>
      </w:r>
      <w:proofErr w:type="spellStart"/>
      <w:r w:rsidRPr="009A49A7">
        <w:rPr>
          <w:rFonts w:ascii="Times" w:eastAsia="Times" w:hAnsi="Times" w:cs="Times"/>
          <w:color w:val="4472C4" w:themeColor="accent5"/>
        </w:rPr>
        <w:t>SQA</w:t>
      </w:r>
      <w:r w:rsidRPr="009A49A7">
        <w:rPr>
          <w:rFonts w:ascii="Times" w:eastAsia="Times" w:hAnsi="Times" w:cs="Times"/>
          <w:color w:val="4472C4" w:themeColor="accent5"/>
          <w:vertAlign w:val="subscript"/>
        </w:rPr>
        <w:t>biota</w:t>
      </w:r>
      <w:proofErr w:type="spellEnd"/>
      <w:r w:rsidRPr="009A49A7">
        <w:rPr>
          <w:rFonts w:ascii="Times" w:eastAsia="Times" w:hAnsi="Times" w:cs="Times"/>
          <w:color w:val="4472C4" w:themeColor="accent5"/>
        </w:rPr>
        <w:t xml:space="preserve"> corretti per il livello trofico in funzione del contenuto lipidico e di peso secco dei diversi</w:t>
      </w:r>
    </w:p>
    <w:p w:rsidR="00DE6CCC" w:rsidRPr="005A0F6D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199" w:lineRule="auto"/>
        <w:ind w:left="567"/>
        <w:rPr>
          <w:rFonts w:ascii="Times" w:eastAsia="Times" w:hAnsi="Times" w:cs="Times"/>
          <w:b/>
          <w:color w:val="4472C4" w:themeColor="accent5"/>
        </w:rPr>
      </w:pPr>
      <w:r>
        <w:rPr>
          <w:rFonts w:ascii="Trebuchet MS" w:hAnsi="Trebuchet MS"/>
          <w:color w:val="222222"/>
          <w:shd w:val="clear" w:color="auto" w:fill="FFFFFF"/>
        </w:rPr>
        <w:t> </w:t>
      </w:r>
      <w:r w:rsidRPr="005A0F6D">
        <w:rPr>
          <w:rFonts w:ascii="Times" w:eastAsia="Times" w:hAnsi="Times" w:cs="Times"/>
          <w:b/>
          <w:color w:val="4472C4" w:themeColor="accent5"/>
        </w:rPr>
        <w:t>ALLUVIONE</w:t>
      </w:r>
    </w:p>
    <w:p w:rsidR="00DE6CCC" w:rsidRPr="009A49A7" w:rsidRDefault="00DE6CCC" w:rsidP="00DE6CCC">
      <w:pPr>
        <w:pStyle w:val="Paragrafoelenco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before="120" w:after="0" w:line="209" w:lineRule="auto"/>
        <w:ind w:left="567"/>
        <w:jc w:val="both"/>
        <w:outlineLvl w:val="0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D.</w:t>
      </w:r>
      <w:r>
        <w:rPr>
          <w:rFonts w:ascii="Times" w:eastAsia="Times" w:hAnsi="Times" w:cs="Times"/>
          <w:color w:val="4472C4" w:themeColor="accent5"/>
        </w:rPr>
        <w:t xml:space="preserve"> Come mi devo comportare rispetto al campionamento in caso di fenomeni alluvionali che colpiscono i CI da monitorare</w:t>
      </w:r>
      <w:r w:rsidRPr="009A49A7">
        <w:rPr>
          <w:rFonts w:ascii="Times" w:eastAsia="Times" w:hAnsi="Times" w:cs="Times"/>
          <w:color w:val="4472C4" w:themeColor="accent5"/>
        </w:rPr>
        <w:t>?</w:t>
      </w:r>
    </w:p>
    <w:p w:rsidR="00DE6CCC" w:rsidRPr="009A49A7" w:rsidRDefault="00DE6CCC" w:rsidP="00DE6CC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line="209" w:lineRule="auto"/>
        <w:ind w:left="567"/>
        <w:jc w:val="both"/>
        <w:rPr>
          <w:rFonts w:ascii="Times" w:eastAsia="Times" w:hAnsi="Times" w:cs="Times"/>
          <w:color w:val="4472C4" w:themeColor="accent5"/>
        </w:rPr>
      </w:pPr>
      <w:r w:rsidRPr="005A0F6D">
        <w:rPr>
          <w:rFonts w:ascii="Times" w:eastAsia="Times" w:hAnsi="Times" w:cs="Times"/>
          <w:b/>
          <w:color w:val="4472C4" w:themeColor="accent5"/>
        </w:rPr>
        <w:t>R.</w:t>
      </w:r>
      <w:r>
        <w:rPr>
          <w:rFonts w:ascii="Times" w:eastAsia="Times" w:hAnsi="Times" w:cs="Times"/>
          <w:color w:val="4472C4" w:themeColor="accent5"/>
        </w:rPr>
        <w:t xml:space="preserve"> In caso di fenomeni alluvionali, si consiglia di effettuare il campionamento a distanza di un anno dall’evento stesso dopo il periodo riproduttivo della specie. In modo da campionare esemplari aventi un anno di età 1+ (deroga ai 2+). </w:t>
      </w:r>
    </w:p>
    <w:p w:rsidR="00E33AA7" w:rsidRDefault="004510A6" w:rsidP="00DE6CCC">
      <w:pPr>
        <w:ind w:left="567"/>
      </w:pPr>
    </w:p>
    <w:sectPr w:rsidR="00E33A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362"/>
    <w:multiLevelType w:val="hybridMultilevel"/>
    <w:tmpl w:val="004A5534"/>
    <w:lvl w:ilvl="0" w:tplc="35E023A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F6FF2"/>
    <w:multiLevelType w:val="hybridMultilevel"/>
    <w:tmpl w:val="E39A2666"/>
    <w:lvl w:ilvl="0" w:tplc="1C789400">
      <w:numFmt w:val="bullet"/>
      <w:lvlText w:val="-"/>
      <w:lvlJc w:val="left"/>
      <w:pPr>
        <w:ind w:left="2868" w:hanging="360"/>
      </w:pPr>
      <w:rPr>
        <w:rFonts w:ascii="Times New Roman" w:hAnsi="Times New Roman" w:cs="Times New Roman" w:hint="default"/>
        <w:b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CCC"/>
    <w:rsid w:val="004510A6"/>
    <w:rsid w:val="008518FA"/>
    <w:rsid w:val="00A11047"/>
    <w:rsid w:val="00D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2771C-B132-4EB0-9312-A271A862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6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6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Agostini</dc:creator>
  <cp:keywords/>
  <dc:description/>
  <cp:lastModifiedBy>Alessandra Agostini</cp:lastModifiedBy>
  <cp:revision>2</cp:revision>
  <dcterms:created xsi:type="dcterms:W3CDTF">2024-02-08T15:59:00Z</dcterms:created>
  <dcterms:modified xsi:type="dcterms:W3CDTF">2024-02-08T16:01:00Z</dcterms:modified>
</cp:coreProperties>
</file>