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915"/>
        <w:gridCol w:w="673"/>
        <w:gridCol w:w="1665"/>
        <w:gridCol w:w="850"/>
        <w:gridCol w:w="1134"/>
        <w:gridCol w:w="206"/>
        <w:gridCol w:w="1637"/>
      </w:tblGrid>
      <w:tr w:rsidR="003D5824" w:rsidRPr="00D844E2" w14:paraId="0E70896B" w14:textId="77777777" w:rsidTr="00743010">
        <w:trPr>
          <w:trHeight w:val="567"/>
          <w:tblHeader/>
          <w:jc w:val="center"/>
        </w:trPr>
        <w:tc>
          <w:tcPr>
            <w:tcW w:w="9918" w:type="dxa"/>
            <w:gridSpan w:val="8"/>
            <w:shd w:val="clear" w:color="auto" w:fill="B8CCE4" w:themeFill="accent1" w:themeFillTint="66"/>
            <w:vAlign w:val="center"/>
          </w:tcPr>
          <w:p w14:paraId="669F75A1" w14:textId="1D0F4216" w:rsidR="003D5824" w:rsidRPr="00580543" w:rsidRDefault="00580543" w:rsidP="00C56427">
            <w:pPr>
              <w:jc w:val="center"/>
              <w:rPr>
                <w:b/>
                <w:sz w:val="40"/>
                <w:szCs w:val="40"/>
              </w:rPr>
            </w:pPr>
            <w:r w:rsidRPr="00580543">
              <w:rPr>
                <w:b/>
                <w:sz w:val="40"/>
                <w:szCs w:val="40"/>
              </w:rPr>
              <w:t xml:space="preserve">RETI TEMATICHE SNPA (RR TEM) </w:t>
            </w:r>
          </w:p>
        </w:tc>
      </w:tr>
      <w:tr w:rsidR="00A837AE" w:rsidRPr="00D844E2" w14:paraId="4D8809EA" w14:textId="77777777" w:rsidTr="00563872">
        <w:trPr>
          <w:trHeight w:val="561"/>
          <w:tblHeader/>
          <w:jc w:val="center"/>
        </w:trPr>
        <w:tc>
          <w:tcPr>
            <w:tcW w:w="6941" w:type="dxa"/>
            <w:gridSpan w:val="5"/>
            <w:shd w:val="clear" w:color="auto" w:fill="B8CCE4" w:themeFill="accent1" w:themeFillTint="66"/>
            <w:vAlign w:val="center"/>
          </w:tcPr>
          <w:p w14:paraId="03234749" w14:textId="6FB1188D" w:rsidR="00A837AE" w:rsidRPr="00FC281F" w:rsidRDefault="00A837AE" w:rsidP="00A837AE">
            <w:pPr>
              <w:rPr>
                <w:b/>
                <w:sz w:val="32"/>
                <w:szCs w:val="32"/>
              </w:rPr>
            </w:pPr>
            <w:r w:rsidRPr="00FC281F">
              <w:rPr>
                <w:b/>
                <w:sz w:val="32"/>
                <w:szCs w:val="32"/>
              </w:rPr>
              <w:t>Nota al CTO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0BF45576" w14:textId="35A5FD3E" w:rsidR="00A837AE" w:rsidRPr="00FC281F" w:rsidRDefault="001808AA" w:rsidP="00C56427">
            <w:pPr>
              <w:jc w:val="center"/>
              <w:rPr>
                <w:b/>
                <w:sz w:val="24"/>
                <w:szCs w:val="24"/>
              </w:rPr>
            </w:pPr>
            <w:r w:rsidRPr="00FC281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5CD3C1E" w14:textId="65B8E7A2" w:rsidR="00A837AE" w:rsidRPr="00FC281F" w:rsidRDefault="007E4600" w:rsidP="00C564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aaaa</w:t>
            </w:r>
            <w:proofErr w:type="spellEnd"/>
            <w:r>
              <w:rPr>
                <w:b/>
                <w:sz w:val="24"/>
                <w:szCs w:val="24"/>
              </w:rPr>
              <w:t>/mm/gg</w:t>
            </w:r>
          </w:p>
        </w:tc>
      </w:tr>
      <w:tr w:rsidR="00B44903" w:rsidRPr="000E20F3" w14:paraId="01002A5D" w14:textId="77777777" w:rsidTr="005B7A2B">
        <w:trPr>
          <w:trHeight w:val="420"/>
          <w:tblHeader/>
          <w:jc w:val="center"/>
        </w:trPr>
        <w:tc>
          <w:tcPr>
            <w:tcW w:w="1838" w:type="dxa"/>
            <w:vMerge w:val="restart"/>
            <w:shd w:val="clear" w:color="auto" w:fill="DBE5F1" w:themeFill="accent1" w:themeFillTint="33"/>
            <w:vAlign w:val="center"/>
          </w:tcPr>
          <w:p w14:paraId="0E547EE1" w14:textId="05D7B4CA" w:rsidR="00B44903" w:rsidRPr="000E20F3" w:rsidRDefault="00B44903" w:rsidP="00C56427">
            <w:pPr>
              <w:rPr>
                <w:b/>
              </w:rPr>
            </w:pPr>
            <w:r>
              <w:rPr>
                <w:b/>
              </w:rPr>
              <w:t>RR TEM</w:t>
            </w:r>
          </w:p>
        </w:tc>
        <w:tc>
          <w:tcPr>
            <w:tcW w:w="1915" w:type="dxa"/>
            <w:shd w:val="clear" w:color="auto" w:fill="DBE5F1" w:themeFill="accent1" w:themeFillTint="33"/>
            <w:vAlign w:val="center"/>
          </w:tcPr>
          <w:p w14:paraId="6E32C55D" w14:textId="170FB204" w:rsidR="00B44903" w:rsidRPr="000E20F3" w:rsidRDefault="00B44903" w:rsidP="00425C4F">
            <w:pPr>
              <w:rPr>
                <w:b/>
              </w:rPr>
            </w:pPr>
            <w:r>
              <w:rPr>
                <w:b/>
              </w:rPr>
              <w:t>Codice</w:t>
            </w:r>
          </w:p>
        </w:tc>
        <w:tc>
          <w:tcPr>
            <w:tcW w:w="6165" w:type="dxa"/>
            <w:gridSpan w:val="6"/>
            <w:shd w:val="clear" w:color="auto" w:fill="auto"/>
            <w:vAlign w:val="center"/>
          </w:tcPr>
          <w:p w14:paraId="5A942945" w14:textId="391D1672" w:rsidR="00B44903" w:rsidRPr="00B44903" w:rsidRDefault="00CD1661" w:rsidP="00425C4F">
            <w:pPr>
              <w:rPr>
                <w:bCs/>
              </w:rPr>
            </w:pPr>
            <w:r>
              <w:rPr>
                <w:bCs/>
              </w:rPr>
              <w:t>RR TEM 09</w:t>
            </w:r>
          </w:p>
        </w:tc>
      </w:tr>
      <w:tr w:rsidR="00B44903" w:rsidRPr="000E20F3" w14:paraId="03F23E6D" w14:textId="77777777" w:rsidTr="005B7A2B">
        <w:trPr>
          <w:trHeight w:val="420"/>
          <w:tblHeader/>
          <w:jc w:val="center"/>
        </w:trPr>
        <w:tc>
          <w:tcPr>
            <w:tcW w:w="1838" w:type="dxa"/>
            <w:vMerge/>
            <w:shd w:val="clear" w:color="auto" w:fill="DBE5F1" w:themeFill="accent1" w:themeFillTint="33"/>
            <w:vAlign w:val="center"/>
          </w:tcPr>
          <w:p w14:paraId="4B6A9305" w14:textId="77777777" w:rsidR="00B44903" w:rsidRDefault="00B44903" w:rsidP="00C56427">
            <w:pPr>
              <w:rPr>
                <w:b/>
              </w:rPr>
            </w:pPr>
          </w:p>
        </w:tc>
        <w:tc>
          <w:tcPr>
            <w:tcW w:w="1915" w:type="dxa"/>
            <w:shd w:val="clear" w:color="auto" w:fill="DBE5F1" w:themeFill="accent1" w:themeFillTint="33"/>
            <w:vAlign w:val="center"/>
          </w:tcPr>
          <w:p w14:paraId="2A76ED76" w14:textId="45A4448A" w:rsidR="00B44903" w:rsidRPr="000E20F3" w:rsidRDefault="00B44903" w:rsidP="00425C4F">
            <w:pPr>
              <w:rPr>
                <w:b/>
              </w:rPr>
            </w:pPr>
            <w:r>
              <w:rPr>
                <w:b/>
              </w:rPr>
              <w:t>Denominazione</w:t>
            </w:r>
          </w:p>
        </w:tc>
        <w:tc>
          <w:tcPr>
            <w:tcW w:w="6165" w:type="dxa"/>
            <w:gridSpan w:val="6"/>
            <w:shd w:val="clear" w:color="auto" w:fill="auto"/>
            <w:vAlign w:val="center"/>
          </w:tcPr>
          <w:p w14:paraId="5296F2ED" w14:textId="71033C49" w:rsidR="00B44903" w:rsidRPr="00B44903" w:rsidRDefault="00CD1661" w:rsidP="00425C4F">
            <w:pPr>
              <w:rPr>
                <w:bCs/>
              </w:rPr>
            </w:pPr>
            <w:r>
              <w:rPr>
                <w:bCs/>
              </w:rPr>
              <w:t>Acque superficiali e sotterranee</w:t>
            </w:r>
          </w:p>
        </w:tc>
      </w:tr>
      <w:tr w:rsidR="00B44903" w:rsidRPr="000E20F3" w14:paraId="01F072A2" w14:textId="77777777" w:rsidTr="005B7A2B">
        <w:trPr>
          <w:trHeight w:val="420"/>
          <w:tblHeader/>
          <w:jc w:val="center"/>
        </w:trPr>
        <w:tc>
          <w:tcPr>
            <w:tcW w:w="1838" w:type="dxa"/>
            <w:vMerge/>
            <w:shd w:val="clear" w:color="auto" w:fill="DBE5F1" w:themeFill="accent1" w:themeFillTint="33"/>
            <w:vAlign w:val="center"/>
          </w:tcPr>
          <w:p w14:paraId="14C13641" w14:textId="77777777" w:rsidR="00B44903" w:rsidRDefault="00B44903" w:rsidP="00C56427">
            <w:pPr>
              <w:rPr>
                <w:b/>
              </w:rPr>
            </w:pPr>
          </w:p>
        </w:tc>
        <w:tc>
          <w:tcPr>
            <w:tcW w:w="1915" w:type="dxa"/>
            <w:shd w:val="clear" w:color="auto" w:fill="DBE5F1" w:themeFill="accent1" w:themeFillTint="33"/>
            <w:vAlign w:val="center"/>
          </w:tcPr>
          <w:p w14:paraId="70DF9591" w14:textId="01D8B65F" w:rsidR="00B44903" w:rsidRPr="000E20F3" w:rsidRDefault="00B44903" w:rsidP="00425C4F">
            <w:pPr>
              <w:rPr>
                <w:b/>
              </w:rPr>
            </w:pPr>
            <w:r>
              <w:rPr>
                <w:b/>
              </w:rPr>
              <w:t>Coordinamento</w:t>
            </w:r>
          </w:p>
        </w:tc>
        <w:tc>
          <w:tcPr>
            <w:tcW w:w="673" w:type="dxa"/>
            <w:shd w:val="clear" w:color="auto" w:fill="DBE5F1" w:themeFill="accent1" w:themeFillTint="33"/>
            <w:vAlign w:val="center"/>
          </w:tcPr>
          <w:p w14:paraId="1383F77B" w14:textId="71EBD552" w:rsidR="00B44903" w:rsidRPr="000E20F3" w:rsidRDefault="00B44903" w:rsidP="00425C4F">
            <w:pPr>
              <w:rPr>
                <w:b/>
              </w:rPr>
            </w:pPr>
            <w:r>
              <w:rPr>
                <w:b/>
              </w:rPr>
              <w:t xml:space="preserve">Ente 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8B9E22E" w14:textId="5D3A8054" w:rsidR="00B44903" w:rsidRPr="00B44903" w:rsidRDefault="00CD1661" w:rsidP="00425C4F">
            <w:pPr>
              <w:rPr>
                <w:bCs/>
              </w:rPr>
            </w:pPr>
            <w:r>
              <w:rPr>
                <w:bCs/>
              </w:rPr>
              <w:t>ISPRA</w:t>
            </w:r>
          </w:p>
        </w:tc>
        <w:tc>
          <w:tcPr>
            <w:tcW w:w="2190" w:type="dxa"/>
            <w:gridSpan w:val="3"/>
            <w:shd w:val="clear" w:color="auto" w:fill="DBE5F1" w:themeFill="accent1" w:themeFillTint="33"/>
            <w:vAlign w:val="center"/>
          </w:tcPr>
          <w:p w14:paraId="1E26D6E7" w14:textId="69545F3E" w:rsidR="00B44903" w:rsidRPr="000E20F3" w:rsidRDefault="00B44903" w:rsidP="00425C4F">
            <w:pPr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534B11A3" w14:textId="767DFF5E" w:rsidR="00B44903" w:rsidRPr="00B44903" w:rsidRDefault="00CD1661" w:rsidP="00425C4F">
            <w:pPr>
              <w:rPr>
                <w:bCs/>
              </w:rPr>
            </w:pPr>
            <w:r>
              <w:rPr>
                <w:bCs/>
              </w:rPr>
              <w:t xml:space="preserve">Martina </w:t>
            </w:r>
            <w:proofErr w:type="spellStart"/>
            <w:r>
              <w:rPr>
                <w:bCs/>
              </w:rPr>
              <w:t>Bussettini</w:t>
            </w:r>
            <w:proofErr w:type="spellEnd"/>
          </w:p>
        </w:tc>
      </w:tr>
      <w:tr w:rsidR="00650A6A" w:rsidRPr="000E20F3" w14:paraId="3D1FD42A" w14:textId="77777777" w:rsidTr="000C73D3">
        <w:trPr>
          <w:trHeight w:val="561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1A6D4ED4" w14:textId="072196F6" w:rsidR="00650A6A" w:rsidRDefault="00650A6A" w:rsidP="00B979AE">
            <w:pPr>
              <w:rPr>
                <w:b/>
              </w:rPr>
            </w:pPr>
            <w:r>
              <w:rPr>
                <w:b/>
              </w:rPr>
              <w:t xml:space="preserve">L.A. 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14:paraId="6E75ED5C" w14:textId="2F764F1B" w:rsidR="00650A6A" w:rsidRPr="00AB6C52" w:rsidRDefault="00AB6C52" w:rsidP="000C73D3">
            <w:r w:rsidRPr="00AB6C52">
              <w:rPr>
                <w:rFonts w:eastAsia="Calibri Light" w:cs="Calibri Light"/>
                <w:lang w:val="it"/>
              </w:rPr>
              <w:t>LA 01 Applicazione Direttiva Acque</w:t>
            </w:r>
          </w:p>
        </w:tc>
      </w:tr>
      <w:tr w:rsidR="005D350F" w:rsidRPr="000E20F3" w14:paraId="1E785B33" w14:textId="77777777" w:rsidTr="000C73D3">
        <w:trPr>
          <w:trHeight w:val="569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093C5D5E" w14:textId="77777777" w:rsidR="005D350F" w:rsidRPr="000E20F3" w:rsidRDefault="005D350F" w:rsidP="00C72E75">
            <w:pPr>
              <w:rPr>
                <w:b/>
              </w:rPr>
            </w:pPr>
            <w:r>
              <w:rPr>
                <w:b/>
              </w:rPr>
              <w:t>Oggetto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14:paraId="2BB01DEA" w14:textId="6D409DDA" w:rsidR="005D350F" w:rsidRPr="00CD1661" w:rsidRDefault="00AB6C52" w:rsidP="000C73D3">
            <w:pPr>
              <w:rPr>
                <w:bCs/>
              </w:rPr>
            </w:pPr>
            <w:r>
              <w:rPr>
                <w:bCs/>
              </w:rPr>
              <w:t xml:space="preserve">Trasmissione </w:t>
            </w:r>
            <w:r w:rsidR="003E42AC" w:rsidRPr="00405C33">
              <w:rPr>
                <w:bCs/>
              </w:rPr>
              <w:t>Documento</w:t>
            </w:r>
            <w:r w:rsidRPr="00405C33">
              <w:rPr>
                <w:bCs/>
              </w:rPr>
              <w:t xml:space="preserve"> </w:t>
            </w:r>
            <w:r w:rsidR="00E42471" w:rsidRPr="00405C33">
              <w:rPr>
                <w:bCs/>
              </w:rPr>
              <w:t>interno</w:t>
            </w:r>
          </w:p>
        </w:tc>
      </w:tr>
      <w:tr w:rsidR="004128D5" w:rsidRPr="000E20F3" w14:paraId="082370B6" w14:textId="77777777" w:rsidTr="000C73D3">
        <w:trPr>
          <w:trHeight w:val="691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5E48B835" w14:textId="06136D98" w:rsidR="004128D5" w:rsidRDefault="004128D5" w:rsidP="00C72E75">
            <w:pPr>
              <w:rPr>
                <w:b/>
              </w:rPr>
            </w:pPr>
            <w:r>
              <w:rPr>
                <w:b/>
              </w:rPr>
              <w:t>Riferimento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14:paraId="26CFACC3" w14:textId="48279B03" w:rsidR="004128D5" w:rsidRPr="00A8279D" w:rsidRDefault="00CD1661" w:rsidP="002F31A0">
            <w:pPr>
              <w:rPr>
                <w:bCs/>
              </w:rPr>
            </w:pPr>
            <w:r w:rsidRPr="00A8279D">
              <w:rPr>
                <w:bCs/>
              </w:rPr>
              <w:t xml:space="preserve">RR TEM 09 – Documento Programmatico 2021-2023, </w:t>
            </w:r>
            <w:r w:rsidRPr="00E42471">
              <w:rPr>
                <w:bCs/>
              </w:rPr>
              <w:t>Rev.1_20221230:</w:t>
            </w:r>
            <w:r w:rsidRPr="00A8279D">
              <w:rPr>
                <w:bCs/>
              </w:rPr>
              <w:t xml:space="preserve"> Attività/Prodotto n. </w:t>
            </w:r>
            <w:r w:rsidR="003E42AC" w:rsidRPr="00A8279D">
              <w:rPr>
                <w:bCs/>
              </w:rPr>
              <w:t>0</w:t>
            </w:r>
            <w:r w:rsidR="002F31A0">
              <w:rPr>
                <w:bCs/>
              </w:rPr>
              <w:t>6</w:t>
            </w:r>
          </w:p>
        </w:tc>
      </w:tr>
      <w:tr w:rsidR="00817DE2" w:rsidRPr="000E20F3" w14:paraId="7B5B8257" w14:textId="77777777" w:rsidTr="000C73D3">
        <w:trPr>
          <w:trHeight w:val="842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438C42AA" w14:textId="616C37EC" w:rsidR="00817DE2" w:rsidRDefault="00817DE2" w:rsidP="00C56427">
            <w:pPr>
              <w:rPr>
                <w:b/>
              </w:rPr>
            </w:pPr>
            <w:r>
              <w:rPr>
                <w:b/>
              </w:rPr>
              <w:t>Documento trasmesso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14:paraId="76E647C0" w14:textId="30B69CC4" w:rsidR="00817DE2" w:rsidRPr="00CD1661" w:rsidRDefault="003E42AC" w:rsidP="00075D11">
            <w:pPr>
              <w:rPr>
                <w:bCs/>
              </w:rPr>
            </w:pPr>
            <w:r w:rsidRPr="00405C33">
              <w:rPr>
                <w:bCs/>
              </w:rPr>
              <w:t>Documento</w:t>
            </w:r>
            <w:r w:rsidR="00AB6C52" w:rsidRPr="00405C33">
              <w:rPr>
                <w:bCs/>
              </w:rPr>
              <w:t xml:space="preserve"> </w:t>
            </w:r>
            <w:r w:rsidR="00E42471" w:rsidRPr="00405C33">
              <w:rPr>
                <w:bCs/>
              </w:rPr>
              <w:t>interno</w:t>
            </w:r>
            <w:r w:rsidR="00CD1661">
              <w:rPr>
                <w:bCs/>
              </w:rPr>
              <w:t xml:space="preserve"> </w:t>
            </w:r>
            <w:r>
              <w:rPr>
                <w:bCs/>
              </w:rPr>
              <w:t>“</w:t>
            </w:r>
            <w:r w:rsidR="002F31A0">
              <w:rPr>
                <w:bCs/>
              </w:rPr>
              <w:t xml:space="preserve">Monitoraggio e </w:t>
            </w:r>
            <w:r w:rsidR="00075D11">
              <w:rPr>
                <w:bCs/>
              </w:rPr>
              <w:t>Classificazione A</w:t>
            </w:r>
            <w:r w:rsidR="002F31A0" w:rsidRPr="002F31A0">
              <w:rPr>
                <w:bCs/>
              </w:rPr>
              <w:t xml:space="preserve">cque </w:t>
            </w:r>
            <w:r w:rsidR="00075D11">
              <w:rPr>
                <w:bCs/>
              </w:rPr>
              <w:t>S</w:t>
            </w:r>
            <w:r w:rsidR="002F31A0" w:rsidRPr="002F31A0">
              <w:rPr>
                <w:bCs/>
              </w:rPr>
              <w:t>otterranee</w:t>
            </w:r>
            <w:r w:rsidR="00CD1661">
              <w:rPr>
                <w:bCs/>
              </w:rPr>
              <w:t>”</w:t>
            </w:r>
          </w:p>
        </w:tc>
      </w:tr>
      <w:tr w:rsidR="00817DE2" w:rsidRPr="00C71A7D" w14:paraId="780E3769" w14:textId="77777777" w:rsidTr="006578CB">
        <w:trPr>
          <w:trHeight w:val="412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796116D2" w14:textId="0699A6D2" w:rsidR="00817DE2" w:rsidRDefault="00817DE2" w:rsidP="00C56427">
            <w:pPr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53EFDC33" w14:textId="3A17F0CB" w:rsidR="00075D11" w:rsidRPr="004F6EB5" w:rsidRDefault="000C73D3" w:rsidP="004F6EB5">
            <w:pPr>
              <w:rPr>
                <w:bCs/>
              </w:rPr>
            </w:pPr>
            <w:r w:rsidRPr="004F6EB5">
              <w:rPr>
                <w:bCs/>
              </w:rPr>
              <w:t>Nell’ambito delle attività svolte dalla linea di attività RR TEM 09-01</w:t>
            </w:r>
            <w:r w:rsidR="00B476B6">
              <w:rPr>
                <w:bCs/>
              </w:rPr>
              <w:t>,</w:t>
            </w:r>
            <w:r w:rsidRPr="004F6EB5">
              <w:rPr>
                <w:bCs/>
              </w:rPr>
              <w:t xml:space="preserve"> relativa all’Applicazione della Direttiva Quadro Acque (DQA)</w:t>
            </w:r>
            <w:r w:rsidR="00075D11" w:rsidRPr="004F6EB5">
              <w:rPr>
                <w:bCs/>
              </w:rPr>
              <w:t>,</w:t>
            </w:r>
            <w:r w:rsidR="00B476B6">
              <w:rPr>
                <w:bCs/>
              </w:rPr>
              <w:t xml:space="preserve"> il Documento </w:t>
            </w:r>
            <w:r w:rsidR="00E93D40">
              <w:rPr>
                <w:bCs/>
              </w:rPr>
              <w:t>interno</w:t>
            </w:r>
            <w:r w:rsidR="00B476B6">
              <w:rPr>
                <w:bCs/>
              </w:rPr>
              <w:t xml:space="preserve"> </w:t>
            </w:r>
            <w:r w:rsidR="00075D11" w:rsidRPr="004F6EB5">
              <w:rPr>
                <w:bCs/>
              </w:rPr>
              <w:t>“Monitoraggio e Classi</w:t>
            </w:r>
            <w:r w:rsidRPr="004F6EB5">
              <w:rPr>
                <w:bCs/>
              </w:rPr>
              <w:t>ficazione</w:t>
            </w:r>
            <w:r w:rsidR="00075D11" w:rsidRPr="004F6EB5">
              <w:rPr>
                <w:bCs/>
              </w:rPr>
              <w:t xml:space="preserve"> Acque Sotterranee</w:t>
            </w:r>
            <w:r w:rsidRPr="004F6EB5">
              <w:rPr>
                <w:bCs/>
              </w:rPr>
              <w:t xml:space="preserve">” </w:t>
            </w:r>
            <w:r w:rsidR="00B476B6">
              <w:rPr>
                <w:bCs/>
              </w:rPr>
              <w:t xml:space="preserve">contiene gli esiti delle attività orientate a </w:t>
            </w:r>
            <w:r w:rsidR="00075D11" w:rsidRPr="004F6EB5">
              <w:rPr>
                <w:bCs/>
              </w:rPr>
              <w:t>uniformare le modalità di classificazione e valutazione dello stato chimico e quantitativo delle acque sotterranee, tenendo conto anche dell'interazione con corpi idrici superficiali, con ecosistemi terrestri e l’ingressione del cuneo salino o di altri contaminanti.</w:t>
            </w:r>
            <w:r w:rsidR="00732514">
              <w:rPr>
                <w:bCs/>
              </w:rPr>
              <w:t xml:space="preserve"> </w:t>
            </w:r>
            <w:r w:rsidR="00075D11" w:rsidRPr="004F6EB5">
              <w:rPr>
                <w:bCs/>
              </w:rPr>
              <w:t xml:space="preserve">I contenuti del documento tecnico permetteranno di agevolare l’aggiornamento e la revisione del Manuale e Linee Guida </w:t>
            </w:r>
            <w:r w:rsidR="004F6EB5">
              <w:rPr>
                <w:bCs/>
              </w:rPr>
              <w:t xml:space="preserve">116/2014, </w:t>
            </w:r>
            <w:r w:rsidR="00075D11" w:rsidRPr="004F6EB5">
              <w:rPr>
                <w:bCs/>
              </w:rPr>
              <w:t>integrando quanto già contenuto per le acque sotterranee nelle Linee Guida prodotte da I</w:t>
            </w:r>
            <w:r w:rsidR="00E67B37">
              <w:rPr>
                <w:bCs/>
              </w:rPr>
              <w:t>SPRA</w:t>
            </w:r>
            <w:r w:rsidR="00075D11" w:rsidRPr="004F6EB5">
              <w:rPr>
                <w:bCs/>
              </w:rPr>
              <w:t xml:space="preserve"> e SNPA nel periodo 2017-2018.</w:t>
            </w:r>
          </w:p>
          <w:p w14:paraId="7571A3B6" w14:textId="2407DFE0" w:rsidR="0032239F" w:rsidRPr="004F6EB5" w:rsidRDefault="000C73D3" w:rsidP="004F6EB5">
            <w:pPr>
              <w:rPr>
                <w:bCs/>
              </w:rPr>
            </w:pPr>
            <w:r w:rsidRPr="004F6EB5">
              <w:rPr>
                <w:bCs/>
              </w:rPr>
              <w:t xml:space="preserve">Il documento </w:t>
            </w:r>
            <w:r w:rsidR="004F6EB5">
              <w:rPr>
                <w:bCs/>
              </w:rPr>
              <w:t>tecnico contiene anche</w:t>
            </w:r>
            <w:r w:rsidRPr="004F6EB5">
              <w:rPr>
                <w:bCs/>
              </w:rPr>
              <w:t xml:space="preserve"> </w:t>
            </w:r>
            <w:r w:rsidR="0032239F" w:rsidRPr="004F6EB5">
              <w:rPr>
                <w:bCs/>
              </w:rPr>
              <w:t xml:space="preserve">i risultati delle attività che hanno permesso di verificare lo stato di attuazione della DQA, della Direttiva Acque Sotterranee </w:t>
            </w:r>
            <w:r w:rsidR="004F6EB5" w:rsidRPr="004F6EB5">
              <w:rPr>
                <w:bCs/>
              </w:rPr>
              <w:t>(</w:t>
            </w:r>
            <w:r w:rsidR="0032239F" w:rsidRPr="004F6EB5">
              <w:rPr>
                <w:bCs/>
              </w:rPr>
              <w:t>2006/118/CE</w:t>
            </w:r>
            <w:r w:rsidR="004F6EB5" w:rsidRPr="004F6EB5">
              <w:rPr>
                <w:bCs/>
              </w:rPr>
              <w:t xml:space="preserve">; </w:t>
            </w:r>
            <w:r w:rsidR="0032239F" w:rsidRPr="004F6EB5">
              <w:rPr>
                <w:bCs/>
              </w:rPr>
              <w:t>DAS) e dei relativi de</w:t>
            </w:r>
            <w:r w:rsidR="004F6EB5">
              <w:rPr>
                <w:bCs/>
              </w:rPr>
              <w:t>creti nazionali di recepimento.</w:t>
            </w:r>
            <w:r w:rsidR="00732514">
              <w:rPr>
                <w:bCs/>
              </w:rPr>
              <w:t xml:space="preserve"> </w:t>
            </w:r>
            <w:r w:rsidR="0032239F" w:rsidRPr="004F6EB5">
              <w:rPr>
                <w:bCs/>
              </w:rPr>
              <w:t>L’attività svolta ha pertanto previsto</w:t>
            </w:r>
            <w:r w:rsidR="00732514">
              <w:rPr>
                <w:bCs/>
              </w:rPr>
              <w:t xml:space="preserve"> l</w:t>
            </w:r>
            <w:r w:rsidR="0032239F" w:rsidRPr="004F6EB5">
              <w:rPr>
                <w:bCs/>
              </w:rPr>
              <w:t xml:space="preserve">a ricognizione, </w:t>
            </w:r>
            <w:r w:rsidR="00732514">
              <w:rPr>
                <w:bCs/>
              </w:rPr>
              <w:t>l’</w:t>
            </w:r>
            <w:r w:rsidR="0032239F" w:rsidRPr="004F6EB5">
              <w:rPr>
                <w:bCs/>
              </w:rPr>
              <w:t xml:space="preserve">analisi e </w:t>
            </w:r>
            <w:r w:rsidR="00732514">
              <w:rPr>
                <w:bCs/>
              </w:rPr>
              <w:t>l’</w:t>
            </w:r>
            <w:r w:rsidR="0032239F" w:rsidRPr="004F6EB5">
              <w:rPr>
                <w:bCs/>
              </w:rPr>
              <w:t>elaborazione di proposte condivise relativamente ai seguenti argomenti:</w:t>
            </w:r>
          </w:p>
          <w:p w14:paraId="23A2820B" w14:textId="01E23C32" w:rsidR="0032239F" w:rsidRPr="004F6EB5" w:rsidRDefault="0032239F" w:rsidP="004F6EB5">
            <w:pPr>
              <w:pStyle w:val="Paragrafoelenco"/>
              <w:numPr>
                <w:ilvl w:val="0"/>
                <w:numId w:val="3"/>
              </w:numPr>
              <w:shd w:val="clear" w:color="auto" w:fill="FFFFFF" w:themeFill="background1"/>
              <w:ind w:left="459"/>
            </w:pPr>
            <w:r w:rsidRPr="004F6EB5">
              <w:t>armonizzazione delle modalità di classificazione e definizione dei cicli di monitoraggio;</w:t>
            </w:r>
          </w:p>
          <w:p w14:paraId="2C639C77" w14:textId="708580FD" w:rsidR="0032239F" w:rsidRPr="004F6EB5" w:rsidRDefault="0032239F" w:rsidP="004F6EB5">
            <w:pPr>
              <w:pStyle w:val="Paragrafoelenco"/>
              <w:numPr>
                <w:ilvl w:val="0"/>
                <w:numId w:val="3"/>
              </w:numPr>
              <w:shd w:val="clear" w:color="auto" w:fill="FFFFFF" w:themeFill="background1"/>
              <w:ind w:left="459"/>
            </w:pPr>
            <w:r w:rsidRPr="004F6EB5">
              <w:t>individuazione dei contenuti minimi dei mo</w:t>
            </w:r>
            <w:r w:rsidR="00732514">
              <w:t>delli concettuali idrogeologici;</w:t>
            </w:r>
          </w:p>
          <w:p w14:paraId="04764B1D" w14:textId="00AB5F25" w:rsidR="0032239F" w:rsidRPr="004F6EB5" w:rsidRDefault="0032239F" w:rsidP="004F6EB5">
            <w:pPr>
              <w:pStyle w:val="Paragrafoelenco"/>
              <w:numPr>
                <w:ilvl w:val="0"/>
                <w:numId w:val="3"/>
              </w:numPr>
              <w:shd w:val="clear" w:color="auto" w:fill="FFFFFF" w:themeFill="background1"/>
              <w:ind w:left="459"/>
            </w:pPr>
            <w:r w:rsidRPr="004F6EB5">
              <w:t xml:space="preserve">armonizzazione dei criteri di classificazione dello stato chimico puntuale e di corpo idrico considerando </w:t>
            </w:r>
            <w:r w:rsidR="00732514">
              <w:t>anche i valori di fondo naturale;</w:t>
            </w:r>
          </w:p>
          <w:p w14:paraId="492C4EC2" w14:textId="21DA4696" w:rsidR="0032239F" w:rsidRPr="004F6EB5" w:rsidRDefault="0032239F" w:rsidP="004F6EB5">
            <w:pPr>
              <w:pStyle w:val="Paragrafoelenco"/>
              <w:numPr>
                <w:ilvl w:val="0"/>
                <w:numId w:val="3"/>
              </w:numPr>
              <w:shd w:val="clear" w:color="auto" w:fill="FFFFFF" w:themeFill="background1"/>
              <w:ind w:left="459"/>
            </w:pPr>
            <w:r w:rsidRPr="004F6EB5">
              <w:t xml:space="preserve">chiarimenti sui criteri di classificazione dello stato quantitativo in particolare dei complessi idrogeologici carbonatici ed </w:t>
            </w:r>
            <w:r w:rsidR="00732514">
              <w:t>esempi di modellazione numerica;</w:t>
            </w:r>
          </w:p>
          <w:p w14:paraId="43D63D4C" w14:textId="3BE551B6" w:rsidR="0032239F" w:rsidRPr="004F6EB5" w:rsidRDefault="0032239F" w:rsidP="004F6EB5">
            <w:pPr>
              <w:pStyle w:val="Paragrafoelenco"/>
              <w:numPr>
                <w:ilvl w:val="0"/>
                <w:numId w:val="3"/>
              </w:numPr>
              <w:shd w:val="clear" w:color="auto" w:fill="FFFFFF" w:themeFill="background1"/>
              <w:ind w:left="459"/>
            </w:pPr>
            <w:r w:rsidRPr="004F6EB5">
              <w:t>armonizzazione dei criteri per la valutazione del livello di confidenza nella classificazione;</w:t>
            </w:r>
          </w:p>
          <w:p w14:paraId="1CB5731F" w14:textId="28455643" w:rsidR="000C73D3" w:rsidRPr="004F6EB5" w:rsidRDefault="0032239F" w:rsidP="00732514">
            <w:pPr>
              <w:pStyle w:val="Paragrafoelenco"/>
              <w:numPr>
                <w:ilvl w:val="0"/>
                <w:numId w:val="3"/>
              </w:numPr>
              <w:shd w:val="clear" w:color="auto" w:fill="FFFFFF" w:themeFill="background1"/>
              <w:ind w:left="459"/>
              <w:rPr>
                <w:bCs/>
              </w:rPr>
            </w:pPr>
            <w:r w:rsidRPr="004F6EB5">
              <w:t>chiarimenti sulla valutazione dell'analisi di rischio tenendo conto della valutazione degli impatti e delle tendenze dei contaminanti.</w:t>
            </w:r>
          </w:p>
        </w:tc>
      </w:tr>
      <w:tr w:rsidR="00817DE2" w:rsidRPr="00817DE2" w14:paraId="453DC45A" w14:textId="77777777" w:rsidTr="006578CB">
        <w:trPr>
          <w:trHeight w:val="412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1C89E9C3" w14:textId="48C3E47D" w:rsidR="00817DE2" w:rsidRDefault="00817DE2" w:rsidP="00C56427">
            <w:pPr>
              <w:rPr>
                <w:b/>
              </w:rPr>
            </w:pPr>
            <w:r>
              <w:rPr>
                <w:b/>
              </w:rPr>
              <w:t xml:space="preserve">Livello di condivisione della RR </w:t>
            </w:r>
            <w:proofErr w:type="spellStart"/>
            <w:r>
              <w:rPr>
                <w:b/>
              </w:rPr>
              <w:t>Tem</w:t>
            </w:r>
            <w:proofErr w:type="spellEnd"/>
          </w:p>
        </w:tc>
        <w:tc>
          <w:tcPr>
            <w:tcW w:w="8080" w:type="dxa"/>
            <w:gridSpan w:val="7"/>
            <w:shd w:val="clear" w:color="auto" w:fill="auto"/>
          </w:tcPr>
          <w:p w14:paraId="6C925E9D" w14:textId="769F1EFE" w:rsidR="00A837AE" w:rsidRDefault="00A837AE" w:rsidP="00B44903">
            <w:pPr>
              <w:rPr>
                <w:bCs/>
              </w:rPr>
            </w:pPr>
          </w:p>
          <w:p w14:paraId="71D9A28C" w14:textId="3B874BFA" w:rsidR="00A837AE" w:rsidRPr="00E42471" w:rsidRDefault="00E42471" w:rsidP="005B7A2B">
            <w:pPr>
              <w:rPr>
                <w:bCs/>
                <w:i/>
                <w:iCs/>
              </w:rPr>
            </w:pPr>
            <w:r w:rsidRPr="0031477E">
              <w:rPr>
                <w:bCs/>
              </w:rPr>
              <w:t xml:space="preserve">Documento condiviso con la </w:t>
            </w:r>
            <w:r>
              <w:rPr>
                <w:bCs/>
              </w:rPr>
              <w:t>RR TEM 09</w:t>
            </w:r>
            <w:r w:rsidR="00E67B37">
              <w:rPr>
                <w:bCs/>
              </w:rPr>
              <w:t xml:space="preserve">, </w:t>
            </w:r>
            <w:r w:rsidR="00591904">
              <w:rPr>
                <w:bCs/>
              </w:rPr>
              <w:t xml:space="preserve">RR TEM 12, </w:t>
            </w:r>
            <w:r w:rsidR="00E67B37">
              <w:rPr>
                <w:bCs/>
              </w:rPr>
              <w:t>RR TEM 13 e RR TEM 16</w:t>
            </w:r>
          </w:p>
        </w:tc>
      </w:tr>
      <w:tr w:rsidR="00A837AE" w:rsidRPr="00817DE2" w14:paraId="4D4EC980" w14:textId="77777777" w:rsidTr="006578CB">
        <w:trPr>
          <w:trHeight w:val="412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51592FA4" w14:textId="4FCC2C40" w:rsidR="00A837AE" w:rsidRDefault="00A837AE" w:rsidP="00C56427">
            <w:pPr>
              <w:rPr>
                <w:b/>
              </w:rPr>
            </w:pPr>
            <w:r>
              <w:rPr>
                <w:b/>
              </w:rPr>
              <w:lastRenderedPageBreak/>
              <w:t>Altre articolazioni SNPA coinvolte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10C7414C" w14:textId="70553BB8" w:rsidR="00A837AE" w:rsidRPr="00AA283F" w:rsidRDefault="00A837AE" w:rsidP="00B44903">
            <w:pPr>
              <w:rPr>
                <w:bCs/>
              </w:rPr>
            </w:pPr>
          </w:p>
          <w:p w14:paraId="65857E65" w14:textId="6C770910" w:rsidR="00A837AE" w:rsidRPr="00AA283F" w:rsidRDefault="00AB6C52" w:rsidP="00B44903">
            <w:pPr>
              <w:rPr>
                <w:bCs/>
              </w:rPr>
            </w:pPr>
            <w:r w:rsidRPr="00AA283F">
              <w:rPr>
                <w:rFonts w:eastAsia="Calibri Light" w:cs="Calibri Light"/>
              </w:rPr>
              <w:t xml:space="preserve">Non sono state </w:t>
            </w:r>
            <w:r w:rsidR="00E909E3">
              <w:rPr>
                <w:rFonts w:eastAsia="Calibri Light" w:cs="Calibri Light"/>
              </w:rPr>
              <w:t>coinvolte altre articolazioni SNPA</w:t>
            </w:r>
            <w:r w:rsidRPr="00AA283F">
              <w:rPr>
                <w:rFonts w:eastAsia="Calibri Light" w:cs="Calibri Light"/>
              </w:rPr>
              <w:t>.</w:t>
            </w:r>
          </w:p>
        </w:tc>
      </w:tr>
      <w:tr w:rsidR="00A837AE" w:rsidRPr="00817DE2" w14:paraId="1C9096C7" w14:textId="77777777" w:rsidTr="006578CB">
        <w:trPr>
          <w:trHeight w:val="412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6D4E035E" w14:textId="482A6E6E" w:rsidR="00A837AE" w:rsidRDefault="00A837AE" w:rsidP="00C56427">
            <w:pPr>
              <w:rPr>
                <w:b/>
              </w:rPr>
            </w:pPr>
            <w:r>
              <w:rPr>
                <w:b/>
              </w:rPr>
              <w:t>Coinvolgimento di soggetti esterni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775BC492" w14:textId="6CB4F20B" w:rsidR="00A837AE" w:rsidRPr="00AA283F" w:rsidRDefault="00A837AE" w:rsidP="00B44903">
            <w:pPr>
              <w:rPr>
                <w:bCs/>
              </w:rPr>
            </w:pPr>
          </w:p>
          <w:p w14:paraId="64E411ED" w14:textId="7C04D636" w:rsidR="00A837AE" w:rsidRPr="00AA283F" w:rsidRDefault="00AB6C52" w:rsidP="00B44903">
            <w:pPr>
              <w:rPr>
                <w:bCs/>
              </w:rPr>
            </w:pPr>
            <w:r w:rsidRPr="00AA283F">
              <w:rPr>
                <w:rFonts w:eastAsia="Calibri Light" w:cs="Calibri Light"/>
              </w:rPr>
              <w:t>Non sono stat</w:t>
            </w:r>
            <w:r w:rsidR="00E909E3">
              <w:rPr>
                <w:rFonts w:eastAsia="Calibri Light" w:cs="Calibri Light"/>
              </w:rPr>
              <w:t>i coinvolti soggetti esterni.</w:t>
            </w:r>
          </w:p>
        </w:tc>
      </w:tr>
      <w:tr w:rsidR="005D350F" w:rsidRPr="00817DE2" w14:paraId="0245C5AF" w14:textId="77777777" w:rsidTr="006578CB">
        <w:trPr>
          <w:trHeight w:val="412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1CD767FC" w14:textId="04CEA889" w:rsidR="005D350F" w:rsidRDefault="005D350F" w:rsidP="005D350F">
            <w:pPr>
              <w:rPr>
                <w:b/>
              </w:rPr>
            </w:pPr>
            <w:r>
              <w:rPr>
                <w:b/>
              </w:rPr>
              <w:t>Elementi critici da segnalare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0EBCF669" w14:textId="35BF4224" w:rsidR="005D350F" w:rsidRPr="00AA283F" w:rsidRDefault="00732514" w:rsidP="00B476B6">
            <w:pPr>
              <w:shd w:val="clear" w:color="auto" w:fill="FFFFFF" w:themeFill="background1"/>
              <w:spacing w:before="120"/>
              <w:jc w:val="both"/>
              <w:rPr>
                <w:rFonts w:eastAsia="Calibri Light" w:cs="Calibri Light"/>
              </w:rPr>
            </w:pPr>
            <w:r>
              <w:rPr>
                <w:rFonts w:eastAsia="Calibri Light" w:cs="Calibri Light"/>
              </w:rPr>
              <w:t xml:space="preserve">I contenuti del documento tecnico permetteranno di agevolare le attività di aggiornamento e revisione del Manuale e Linea Guida 116/2014, anche se durante questa fase sarà necessario, per </w:t>
            </w:r>
            <w:r w:rsidR="009E62A4">
              <w:rPr>
                <w:rFonts w:eastAsia="Calibri Light" w:cs="Calibri Light"/>
              </w:rPr>
              <w:t xml:space="preserve">la specificità di </w:t>
            </w:r>
            <w:r>
              <w:rPr>
                <w:rFonts w:eastAsia="Calibri Light" w:cs="Calibri Light"/>
              </w:rPr>
              <w:t xml:space="preserve">alcuni argomenti trattati, </w:t>
            </w:r>
            <w:r w:rsidR="009E62A4">
              <w:rPr>
                <w:rFonts w:eastAsia="Calibri Light" w:cs="Calibri Light"/>
              </w:rPr>
              <w:t xml:space="preserve">condividere nell’ambito della </w:t>
            </w:r>
            <w:r w:rsidR="00B476B6">
              <w:rPr>
                <w:rFonts w:eastAsia="Calibri Light" w:cs="Calibri Light"/>
              </w:rPr>
              <w:t xml:space="preserve">Rete </w:t>
            </w:r>
            <w:r w:rsidR="009E62A4">
              <w:rPr>
                <w:rFonts w:eastAsia="Calibri Light" w:cs="Calibri Light"/>
              </w:rPr>
              <w:t xml:space="preserve">Tematica ulteriori </w:t>
            </w:r>
            <w:r>
              <w:rPr>
                <w:rFonts w:eastAsia="Calibri Light" w:cs="Calibri Light"/>
              </w:rPr>
              <w:t xml:space="preserve">affinamenti </w:t>
            </w:r>
            <w:r w:rsidR="009E62A4">
              <w:rPr>
                <w:rFonts w:eastAsia="Calibri Light" w:cs="Calibri Light"/>
              </w:rPr>
              <w:t>metodologici o esemplificativi di dettaglio</w:t>
            </w:r>
            <w:r w:rsidR="00AB6C52" w:rsidRPr="00AA283F">
              <w:rPr>
                <w:rFonts w:eastAsia="Calibri Light" w:cs="Calibri Light"/>
              </w:rPr>
              <w:t>.</w:t>
            </w:r>
          </w:p>
        </w:tc>
      </w:tr>
      <w:tr w:rsidR="005D350F" w:rsidRPr="00817DE2" w14:paraId="07E33728" w14:textId="77777777" w:rsidTr="006578CB">
        <w:trPr>
          <w:trHeight w:val="412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2D476AD7" w14:textId="27B5B321" w:rsidR="005D350F" w:rsidRDefault="005D350F" w:rsidP="005D350F">
            <w:pPr>
              <w:rPr>
                <w:b/>
              </w:rPr>
            </w:pPr>
            <w:r>
              <w:rPr>
                <w:b/>
              </w:rPr>
              <w:t xml:space="preserve">Note 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27DA9718" w14:textId="14E6E9A0" w:rsidR="005D350F" w:rsidRPr="005B7A2B" w:rsidRDefault="005D350F" w:rsidP="005D350F">
            <w:pPr>
              <w:rPr>
                <w:bCs/>
                <w:sz w:val="18"/>
                <w:szCs w:val="18"/>
              </w:rPr>
            </w:pPr>
          </w:p>
        </w:tc>
      </w:tr>
      <w:tr w:rsidR="005D350F" w:rsidRPr="00817DE2" w14:paraId="730421C8" w14:textId="77777777" w:rsidTr="006578CB">
        <w:trPr>
          <w:trHeight w:val="412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6843339F" w14:textId="29F847C2" w:rsidR="005D350F" w:rsidRDefault="005D350F" w:rsidP="005D350F">
            <w:pPr>
              <w:rPr>
                <w:b/>
              </w:rPr>
            </w:pPr>
            <w:r>
              <w:rPr>
                <w:b/>
              </w:rPr>
              <w:t>Allegati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75204BAD" w14:textId="799D5149" w:rsidR="005D350F" w:rsidRPr="005B7A2B" w:rsidRDefault="005D350F" w:rsidP="00405C33">
            <w:pPr>
              <w:rPr>
                <w:bCs/>
                <w:sz w:val="18"/>
                <w:szCs w:val="18"/>
              </w:rPr>
            </w:pPr>
          </w:p>
        </w:tc>
      </w:tr>
    </w:tbl>
    <w:p w14:paraId="7B7A4630" w14:textId="77777777" w:rsidR="004D47E6" w:rsidRDefault="004D47E6"/>
    <w:sectPr w:rsidR="004D47E6" w:rsidSect="00AF4141">
      <w:headerReference w:type="default" r:id="rId7"/>
      <w:footerReference w:type="default" r:id="rId8"/>
      <w:pgSz w:w="11899" w:h="16838"/>
      <w:pgMar w:top="226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F4BE2" w14:textId="77777777" w:rsidR="005A31E0" w:rsidRDefault="005A31E0">
      <w:r>
        <w:separator/>
      </w:r>
    </w:p>
  </w:endnote>
  <w:endnote w:type="continuationSeparator" w:id="0">
    <w:p w14:paraId="54391435" w14:textId="77777777" w:rsidR="005A31E0" w:rsidRDefault="005A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7A76D" w14:textId="51B8B41F" w:rsidR="003D5824" w:rsidRPr="003D5824" w:rsidRDefault="003D5824" w:rsidP="003D5824">
    <w:pPr>
      <w:pStyle w:val="Pidipagina"/>
      <w:framePr w:wrap="around" w:vAnchor="text" w:hAnchor="margin" w:xAlign="right" w:y="1"/>
      <w:rPr>
        <w:i/>
        <w:sz w:val="20"/>
        <w:szCs w:val="20"/>
      </w:rPr>
    </w:pPr>
    <w:bookmarkStart w:id="0" w:name="_Hlk24892615"/>
  </w:p>
  <w:tbl>
    <w:tblPr>
      <w:tblStyle w:val="Grigliatabella"/>
      <w:tblW w:w="9923" w:type="dxa"/>
      <w:tblInd w:w="-142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6931"/>
      <w:gridCol w:w="1275"/>
      <w:gridCol w:w="1145"/>
      <w:gridCol w:w="572"/>
    </w:tblGrid>
    <w:tr w:rsidR="00A33AF4" w:rsidRPr="00A33AF4" w14:paraId="3889C187" w14:textId="76DA715B" w:rsidTr="00A33AF4">
      <w:trPr>
        <w:trHeight w:val="281"/>
      </w:trPr>
      <w:tc>
        <w:tcPr>
          <w:tcW w:w="6941" w:type="dxa"/>
          <w:vAlign w:val="center"/>
        </w:tcPr>
        <w:bookmarkEnd w:id="0"/>
        <w:p w14:paraId="6D0F62DD" w14:textId="7656C31F" w:rsidR="00A33AF4" w:rsidRPr="00A33AF4" w:rsidRDefault="00A33AF4" w:rsidP="00A33AF4">
          <w:pPr>
            <w:pStyle w:val="Pidipagina"/>
            <w:tabs>
              <w:tab w:val="clear" w:pos="4986"/>
              <w:tab w:val="clear" w:pos="9972"/>
            </w:tabs>
            <w:rPr>
              <w:i/>
              <w:color w:val="262626" w:themeColor="text1" w:themeTint="D9"/>
              <w:sz w:val="18"/>
              <w:szCs w:val="18"/>
            </w:rPr>
          </w:pPr>
          <w:r w:rsidRPr="00A33AF4">
            <w:rPr>
              <w:i/>
              <w:iCs/>
              <w:color w:val="262626" w:themeColor="text1" w:themeTint="D9"/>
              <w:sz w:val="18"/>
              <w:szCs w:val="18"/>
            </w:rPr>
            <w:t>Modello PG.CTO.01.0</w:t>
          </w:r>
          <w:r w:rsidR="002D21F6">
            <w:rPr>
              <w:i/>
              <w:iCs/>
              <w:color w:val="262626" w:themeColor="text1" w:themeTint="D9"/>
              <w:sz w:val="18"/>
              <w:szCs w:val="18"/>
            </w:rPr>
            <w:t>4</w:t>
          </w:r>
          <w:r w:rsidRPr="00A33AF4">
            <w:rPr>
              <w:i/>
              <w:iCs/>
              <w:color w:val="262626" w:themeColor="text1" w:themeTint="D9"/>
              <w:sz w:val="18"/>
              <w:szCs w:val="18"/>
            </w:rPr>
            <w:t xml:space="preserve"> Nota </w:t>
          </w:r>
          <w:r w:rsidR="004B4B84">
            <w:rPr>
              <w:i/>
              <w:iCs/>
              <w:color w:val="262626" w:themeColor="text1" w:themeTint="D9"/>
              <w:sz w:val="18"/>
              <w:szCs w:val="18"/>
            </w:rPr>
            <w:t>al CTO</w:t>
          </w:r>
        </w:p>
      </w:tc>
      <w:tc>
        <w:tcPr>
          <w:tcW w:w="1276" w:type="dxa"/>
          <w:vAlign w:val="center"/>
        </w:tcPr>
        <w:p w14:paraId="08237C5B" w14:textId="75888D98" w:rsidR="00A33AF4" w:rsidRPr="00A33AF4" w:rsidRDefault="00A33AF4" w:rsidP="005B7A2B">
          <w:pPr>
            <w:pStyle w:val="Pidipagina"/>
            <w:tabs>
              <w:tab w:val="clear" w:pos="4986"/>
              <w:tab w:val="clear" w:pos="9972"/>
            </w:tabs>
            <w:rPr>
              <w:i/>
              <w:color w:val="262626" w:themeColor="text1" w:themeTint="D9"/>
              <w:sz w:val="18"/>
              <w:szCs w:val="18"/>
            </w:rPr>
          </w:pPr>
          <w:r w:rsidRPr="00A33AF4">
            <w:rPr>
              <w:i/>
              <w:color w:val="262626" w:themeColor="text1" w:themeTint="D9"/>
              <w:sz w:val="18"/>
              <w:szCs w:val="18"/>
            </w:rPr>
            <w:t xml:space="preserve">Rev. </w:t>
          </w:r>
          <w:r w:rsidR="005B7A2B">
            <w:rPr>
              <w:i/>
              <w:color w:val="262626" w:themeColor="text1" w:themeTint="D9"/>
              <w:sz w:val="18"/>
              <w:szCs w:val="18"/>
            </w:rPr>
            <w:t>00</w:t>
          </w:r>
        </w:p>
      </w:tc>
      <w:tc>
        <w:tcPr>
          <w:tcW w:w="1134" w:type="dxa"/>
          <w:vAlign w:val="center"/>
        </w:tcPr>
        <w:p w14:paraId="0250A862" w14:textId="0282D81A" w:rsidR="00A33AF4" w:rsidRPr="00A33AF4" w:rsidRDefault="002D21F6" w:rsidP="005B7A2B">
          <w:pPr>
            <w:pStyle w:val="Pidipagina"/>
            <w:tabs>
              <w:tab w:val="clear" w:pos="4986"/>
              <w:tab w:val="clear" w:pos="9972"/>
            </w:tabs>
            <w:rPr>
              <w:i/>
              <w:color w:val="262626" w:themeColor="text1" w:themeTint="D9"/>
              <w:sz w:val="18"/>
              <w:szCs w:val="18"/>
            </w:rPr>
          </w:pPr>
          <w:r>
            <w:rPr>
              <w:i/>
              <w:color w:val="262626" w:themeColor="text1" w:themeTint="D9"/>
              <w:sz w:val="18"/>
              <w:szCs w:val="18"/>
            </w:rPr>
            <w:t>2022/03/</w:t>
          </w:r>
          <w:r w:rsidR="005B7A2B">
            <w:rPr>
              <w:i/>
              <w:color w:val="262626" w:themeColor="text1" w:themeTint="D9"/>
              <w:sz w:val="18"/>
              <w:szCs w:val="18"/>
            </w:rPr>
            <w:t>16</w:t>
          </w:r>
        </w:p>
      </w:tc>
      <w:tc>
        <w:tcPr>
          <w:tcW w:w="572" w:type="dxa"/>
          <w:vAlign w:val="center"/>
        </w:tcPr>
        <w:p w14:paraId="353BAEB0" w14:textId="1E433C19" w:rsidR="00A33AF4" w:rsidRPr="00A33AF4" w:rsidRDefault="00A33AF4" w:rsidP="00743010">
          <w:pPr>
            <w:pStyle w:val="Pidipagina"/>
            <w:tabs>
              <w:tab w:val="clear" w:pos="4986"/>
              <w:tab w:val="clear" w:pos="9972"/>
            </w:tabs>
            <w:jc w:val="right"/>
            <w:rPr>
              <w:i/>
              <w:color w:val="262626" w:themeColor="text1" w:themeTint="D9"/>
              <w:sz w:val="18"/>
              <w:szCs w:val="18"/>
            </w:rPr>
          </w:pPr>
          <w:r w:rsidRPr="00A33AF4">
            <w:rPr>
              <w:i/>
              <w:color w:val="262626" w:themeColor="text1" w:themeTint="D9"/>
              <w:sz w:val="18"/>
              <w:szCs w:val="18"/>
            </w:rPr>
            <w:fldChar w:fldCharType="begin"/>
          </w:r>
          <w:r w:rsidRPr="00A33AF4">
            <w:rPr>
              <w:i/>
              <w:color w:val="262626" w:themeColor="text1" w:themeTint="D9"/>
              <w:sz w:val="18"/>
              <w:szCs w:val="18"/>
            </w:rPr>
            <w:instrText xml:space="preserve">PAGE  </w:instrText>
          </w:r>
          <w:r w:rsidRPr="00A33AF4">
            <w:rPr>
              <w:i/>
              <w:color w:val="262626" w:themeColor="text1" w:themeTint="D9"/>
              <w:sz w:val="18"/>
              <w:szCs w:val="18"/>
            </w:rPr>
            <w:fldChar w:fldCharType="separate"/>
          </w:r>
          <w:r w:rsidR="00B476B6">
            <w:rPr>
              <w:i/>
              <w:noProof/>
              <w:color w:val="262626" w:themeColor="text1" w:themeTint="D9"/>
              <w:sz w:val="18"/>
              <w:szCs w:val="18"/>
            </w:rPr>
            <w:t>2</w:t>
          </w:r>
          <w:r w:rsidRPr="00A33AF4">
            <w:rPr>
              <w:i/>
              <w:color w:val="262626" w:themeColor="text1" w:themeTint="D9"/>
              <w:sz w:val="18"/>
              <w:szCs w:val="18"/>
            </w:rPr>
            <w:fldChar w:fldCharType="end"/>
          </w:r>
          <w:r w:rsidRPr="00A33AF4">
            <w:rPr>
              <w:i/>
              <w:color w:val="262626" w:themeColor="text1" w:themeTint="D9"/>
              <w:sz w:val="18"/>
              <w:szCs w:val="18"/>
            </w:rPr>
            <w:t>/</w:t>
          </w:r>
          <w:r w:rsidRPr="00A33AF4">
            <w:rPr>
              <w:i/>
              <w:color w:val="262626" w:themeColor="text1" w:themeTint="D9"/>
              <w:sz w:val="18"/>
              <w:szCs w:val="18"/>
            </w:rPr>
            <w:fldChar w:fldCharType="begin"/>
          </w:r>
          <w:r w:rsidRPr="00A33AF4">
            <w:rPr>
              <w:i/>
              <w:color w:val="262626" w:themeColor="text1" w:themeTint="D9"/>
              <w:sz w:val="18"/>
              <w:szCs w:val="18"/>
            </w:rPr>
            <w:instrText xml:space="preserve"> NUMPAGES </w:instrText>
          </w:r>
          <w:r w:rsidRPr="00A33AF4">
            <w:rPr>
              <w:i/>
              <w:color w:val="262626" w:themeColor="text1" w:themeTint="D9"/>
              <w:sz w:val="18"/>
              <w:szCs w:val="18"/>
            </w:rPr>
            <w:fldChar w:fldCharType="separate"/>
          </w:r>
          <w:r w:rsidR="00B476B6">
            <w:rPr>
              <w:i/>
              <w:noProof/>
              <w:color w:val="262626" w:themeColor="text1" w:themeTint="D9"/>
              <w:sz w:val="18"/>
              <w:szCs w:val="18"/>
            </w:rPr>
            <w:t>2</w:t>
          </w:r>
          <w:r w:rsidRPr="00A33AF4">
            <w:rPr>
              <w:i/>
              <w:color w:val="262626" w:themeColor="text1" w:themeTint="D9"/>
              <w:sz w:val="18"/>
              <w:szCs w:val="18"/>
            </w:rPr>
            <w:fldChar w:fldCharType="end"/>
          </w:r>
        </w:p>
      </w:tc>
    </w:tr>
  </w:tbl>
  <w:p w14:paraId="1E8ECC21" w14:textId="79575F12" w:rsidR="003D5824" w:rsidRPr="003D5824" w:rsidRDefault="003D5824" w:rsidP="00743010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5AE45" w14:textId="77777777" w:rsidR="005A31E0" w:rsidRDefault="005A31E0">
      <w:r>
        <w:separator/>
      </w:r>
    </w:p>
  </w:footnote>
  <w:footnote w:type="continuationSeparator" w:id="0">
    <w:p w14:paraId="4674EF98" w14:textId="77777777" w:rsidR="005A31E0" w:rsidRDefault="005A3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9B315" w14:textId="443A1C01" w:rsidR="00AF4141" w:rsidRPr="003D5824" w:rsidRDefault="00AF4141">
    <w:pPr>
      <w:pStyle w:val="Intestazione"/>
      <w:rPr>
        <w:i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3DA838F" wp14:editId="5F5D39FA">
          <wp:simplePos x="0" y="0"/>
          <wp:positionH relativeFrom="column">
            <wp:posOffset>5029454</wp:posOffset>
          </wp:positionH>
          <wp:positionV relativeFrom="paragraph">
            <wp:posOffset>-79883</wp:posOffset>
          </wp:positionV>
          <wp:extent cx="1344295" cy="841248"/>
          <wp:effectExtent l="25400" t="0" r="1905" b="0"/>
          <wp:wrapNone/>
          <wp:docPr id="1" name="Immagine 1" descr="logo_SNPA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NPA_CO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4295" cy="841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17BF9"/>
    <w:multiLevelType w:val="hybridMultilevel"/>
    <w:tmpl w:val="1952BF1E"/>
    <w:lvl w:ilvl="0" w:tplc="EB4A0FD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64AAC"/>
    <w:multiLevelType w:val="hybridMultilevel"/>
    <w:tmpl w:val="E6BA3542"/>
    <w:lvl w:ilvl="0" w:tplc="784A4F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D1F31"/>
    <w:multiLevelType w:val="hybridMultilevel"/>
    <w:tmpl w:val="B4F475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B34C7"/>
    <w:multiLevelType w:val="hybridMultilevel"/>
    <w:tmpl w:val="4F9A5F1A"/>
    <w:lvl w:ilvl="0" w:tplc="31F04AC2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936910">
    <w:abstractNumId w:val="0"/>
  </w:num>
  <w:num w:numId="2" w16cid:durableId="776682335">
    <w:abstractNumId w:val="1"/>
  </w:num>
  <w:num w:numId="3" w16cid:durableId="1266380800">
    <w:abstractNumId w:val="2"/>
  </w:num>
  <w:num w:numId="4" w16cid:durableId="1214191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141"/>
    <w:rsid w:val="00000DC7"/>
    <w:rsid w:val="00075D11"/>
    <w:rsid w:val="00084EEA"/>
    <w:rsid w:val="000857A3"/>
    <w:rsid w:val="00091A7A"/>
    <w:rsid w:val="0009605B"/>
    <w:rsid w:val="000A454A"/>
    <w:rsid w:val="000C73D3"/>
    <w:rsid w:val="000D311A"/>
    <w:rsid w:val="000E20F3"/>
    <w:rsid w:val="00117C4F"/>
    <w:rsid w:val="001808AA"/>
    <w:rsid w:val="001B38C2"/>
    <w:rsid w:val="00216A0D"/>
    <w:rsid w:val="0023286F"/>
    <w:rsid w:val="002806E4"/>
    <w:rsid w:val="002953A1"/>
    <w:rsid w:val="00297811"/>
    <w:rsid w:val="002D21F6"/>
    <w:rsid w:val="002F31A0"/>
    <w:rsid w:val="0032239F"/>
    <w:rsid w:val="0034313D"/>
    <w:rsid w:val="003550EA"/>
    <w:rsid w:val="00392BD8"/>
    <w:rsid w:val="00393C98"/>
    <w:rsid w:val="003D5824"/>
    <w:rsid w:val="003E42AC"/>
    <w:rsid w:val="003F52DD"/>
    <w:rsid w:val="00405C33"/>
    <w:rsid w:val="004128D5"/>
    <w:rsid w:val="00425C4F"/>
    <w:rsid w:val="00445850"/>
    <w:rsid w:val="00471FC6"/>
    <w:rsid w:val="00494FE1"/>
    <w:rsid w:val="004B4B84"/>
    <w:rsid w:val="004D47E6"/>
    <w:rsid w:val="004F6EB5"/>
    <w:rsid w:val="0050471E"/>
    <w:rsid w:val="00526FF4"/>
    <w:rsid w:val="0053132D"/>
    <w:rsid w:val="00563872"/>
    <w:rsid w:val="00571308"/>
    <w:rsid w:val="005734C4"/>
    <w:rsid w:val="005801C6"/>
    <w:rsid w:val="00580543"/>
    <w:rsid w:val="00591904"/>
    <w:rsid w:val="005A31E0"/>
    <w:rsid w:val="005B7A2B"/>
    <w:rsid w:val="005D350F"/>
    <w:rsid w:val="0062610A"/>
    <w:rsid w:val="0063233A"/>
    <w:rsid w:val="006419D2"/>
    <w:rsid w:val="00650A6A"/>
    <w:rsid w:val="00655808"/>
    <w:rsid w:val="006578CB"/>
    <w:rsid w:val="0066133C"/>
    <w:rsid w:val="006656D8"/>
    <w:rsid w:val="006A66BD"/>
    <w:rsid w:val="006E14CA"/>
    <w:rsid w:val="006E66C6"/>
    <w:rsid w:val="00714809"/>
    <w:rsid w:val="00732514"/>
    <w:rsid w:val="00743010"/>
    <w:rsid w:val="00786DFA"/>
    <w:rsid w:val="007E4600"/>
    <w:rsid w:val="00817DE2"/>
    <w:rsid w:val="00890062"/>
    <w:rsid w:val="00904C07"/>
    <w:rsid w:val="00917470"/>
    <w:rsid w:val="00946878"/>
    <w:rsid w:val="009C414C"/>
    <w:rsid w:val="009E62A4"/>
    <w:rsid w:val="009E68D8"/>
    <w:rsid w:val="009F6C0A"/>
    <w:rsid w:val="00A27381"/>
    <w:rsid w:val="00A33AF4"/>
    <w:rsid w:val="00A5639D"/>
    <w:rsid w:val="00A666EF"/>
    <w:rsid w:val="00A8279D"/>
    <w:rsid w:val="00A837AE"/>
    <w:rsid w:val="00AA283F"/>
    <w:rsid w:val="00AB6C52"/>
    <w:rsid w:val="00AF32CA"/>
    <w:rsid w:val="00AF4141"/>
    <w:rsid w:val="00AF420D"/>
    <w:rsid w:val="00B33AA6"/>
    <w:rsid w:val="00B44903"/>
    <w:rsid w:val="00B476B6"/>
    <w:rsid w:val="00B514D7"/>
    <w:rsid w:val="00B7780F"/>
    <w:rsid w:val="00B8275B"/>
    <w:rsid w:val="00BA4BB3"/>
    <w:rsid w:val="00BE76D4"/>
    <w:rsid w:val="00C456CC"/>
    <w:rsid w:val="00C53E94"/>
    <w:rsid w:val="00C66605"/>
    <w:rsid w:val="00C71A7D"/>
    <w:rsid w:val="00C81299"/>
    <w:rsid w:val="00C915E9"/>
    <w:rsid w:val="00CD1661"/>
    <w:rsid w:val="00CD3317"/>
    <w:rsid w:val="00CE16A1"/>
    <w:rsid w:val="00D00F19"/>
    <w:rsid w:val="00D369B6"/>
    <w:rsid w:val="00D617F2"/>
    <w:rsid w:val="00D86ECE"/>
    <w:rsid w:val="00D9098E"/>
    <w:rsid w:val="00DE4AD8"/>
    <w:rsid w:val="00E02382"/>
    <w:rsid w:val="00E0621B"/>
    <w:rsid w:val="00E35519"/>
    <w:rsid w:val="00E42471"/>
    <w:rsid w:val="00E550D5"/>
    <w:rsid w:val="00E56DDC"/>
    <w:rsid w:val="00E67B37"/>
    <w:rsid w:val="00E909E3"/>
    <w:rsid w:val="00E93D40"/>
    <w:rsid w:val="00EB4BF7"/>
    <w:rsid w:val="00ED3876"/>
    <w:rsid w:val="00ED6DC7"/>
    <w:rsid w:val="00F30B0B"/>
    <w:rsid w:val="00F3379E"/>
    <w:rsid w:val="00F56A25"/>
    <w:rsid w:val="00F5730E"/>
    <w:rsid w:val="00F803C4"/>
    <w:rsid w:val="00FA3344"/>
    <w:rsid w:val="00FC281F"/>
    <w:rsid w:val="00FD11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6F139"/>
  <w15:docId w15:val="{6D9EC4EC-82B9-43DC-9221-5B801C74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4141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141"/>
  </w:style>
  <w:style w:type="paragraph" w:styleId="Pidipagina">
    <w:name w:val="footer"/>
    <w:basedOn w:val="Normale"/>
    <w:link w:val="PidipaginaCarattere"/>
    <w:uiPriority w:val="99"/>
    <w:unhideWhenUsed/>
    <w:rsid w:val="00AF4141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141"/>
  </w:style>
  <w:style w:type="table" w:styleId="Grigliatabella">
    <w:name w:val="Table Grid"/>
    <w:basedOn w:val="Tabellanormale"/>
    <w:uiPriority w:val="39"/>
    <w:rsid w:val="003D582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E14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5E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ISPRA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Porrazzo</dc:creator>
  <cp:keywords/>
  <cp:lastModifiedBy>Francesca Piva</cp:lastModifiedBy>
  <cp:revision>10</cp:revision>
  <cp:lastPrinted>2022-03-17T09:53:00Z</cp:lastPrinted>
  <dcterms:created xsi:type="dcterms:W3CDTF">2024-10-02T09:44:00Z</dcterms:created>
  <dcterms:modified xsi:type="dcterms:W3CDTF">2024-11-18T09:57:00Z</dcterms:modified>
</cp:coreProperties>
</file>