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36" w:rsidRDefault="006C4236">
      <w:pPr>
        <w:tabs>
          <w:tab w:val="left" w:pos="8382"/>
        </w:tabs>
        <w:ind w:left="102"/>
        <w:rPr>
          <w:rFonts w:ascii="Times New Roman"/>
          <w:sz w:val="20"/>
        </w:rPr>
      </w:pPr>
      <w:r w:rsidRPr="006C4236">
        <w:pict>
          <v:group id="_x0000_s1044" style="position:absolute;left:0;text-align:left;margin-left:6.85pt;margin-top:168pt;width:581.55pt;height:31.2pt;z-index:-251931648;mso-position-horizontal-relative:page;mso-position-vertical-relative:page" coordorigin="137,3360" coordsize="11631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68;top:3360;width:11568;height:624">
              <v:imagedata r:id="rId7" o:title=""/>
            </v:shape>
            <v:shape id="_x0000_s1046" style="position:absolute;left:168;top:3455;width:11568;height:348" coordorigin="168,3456" coordsize="11568,348" o:spt="100" adj="0,,0" path="m7120,3657r-4177,3l4018,3752r431,27l4799,3794r263,7l5321,3803r170,-1l5643,3797r154,-8l5953,3779r238,-20l6595,3718r525,-61xm1421,3456r-77,l1271,3458r-74,4l1122,3467r-76,7l970,3483r-77,10l815,3504r-77,13l659,3530r-79,15l422,3576r-254,54l168,3662r2775,-2l2361,3607r-114,-13l2146,3579r-90,-15l1977,3549r-71,-15l1842,3519r-117,-26l1669,3481r-56,-10l1554,3464r-64,-6l1421,3456xm9190,3487r-179,1l8848,3492r-151,6l8543,3507r-170,12l8229,3532r-322,32l7120,3657r4616,-4l11736,3643,10492,3543r-369,-24l9747,3501r-282,-10l9281,3488r-91,-1xe" fillcolor="#4f81bd" stroked="f">
              <v:stroke joinstyle="round"/>
              <v:formulas/>
              <v:path arrowok="t" o:connecttype="segments"/>
            </v:shape>
            <v:shape id="_x0000_s1045" style="position:absolute;left:168;top:3458;width:11568;height:348" coordorigin="168,3458" coordsize="11568,348" path="m168,3633r97,-21l345,3595r80,-17l504,3562r79,-15l662,3532r78,-13l818,3506r77,-11l972,3485r76,-9l1124,3469r75,-5l1273,3460r73,-2l1423,3458r70,3l1556,3466r116,18l1784,3508r60,14l1909,3537r71,15l2059,3567r89,15l2249,3596r115,13l2494,3622r55,4l2607,3631r60,6l2729,3642r64,6l2859,3654r68,7l2996,3667r71,7l3140,3680r74,7l3290,3694r76,7l3445,3708r79,7l3604,3722r82,6l3768,3735r83,7l3935,3748r85,6l4106,3760r85,6l4278,3771r87,5l4452,3781r87,5l4627,3790r87,3l4802,3797r87,3l4977,3802r87,2l5151,3805r86,1l5323,3806r86,-1l5494,3804r75,-2l5645,3799r77,-3l5799,3791r78,-4l5955,3781r79,-6l6113,3769r80,-7l6273,3754r81,-8l6435,3738r81,-8l6597,3721r82,-9l6761,3702r82,-9l6925,3683r82,-10l7090,3663r82,-10l7254,3643r83,-10l7419,3623r82,-10l7583,3603r82,-9l7747,3584r81,-9l7909,3566r81,-8l8071,3550r80,-8l8231,3534r79,-7l8389,3521r79,-6l8545,3509r78,-4l8699,3500r76,-3l8851,3494r75,-2l9013,3490r89,l9192,3490r91,l9375,3492r93,2l9561,3496r94,3l9749,3503r94,4l9938,3512r94,5l10126,3522r93,5l10312,3533r92,6l10495,3546r90,6l10674,3559r87,7l10848,3572r84,7l11015,3586r80,7l11174,3599r77,6l11325,3612r71,6l11465,3623r66,6l11594,3634r60,5l11711,3643r25,2e" filled="f" strokecolor="#f2f2f2" strokeweight="3.12pt">
              <v:path arrowok="t"/>
            </v:shape>
            <w10:wrap anchorx="page" anchory="page"/>
          </v:group>
        </w:pict>
      </w:r>
      <w:r w:rsidR="00CE6C81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96207" cy="81305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07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C81">
        <w:rPr>
          <w:rFonts w:ascii="Times New Roman"/>
          <w:sz w:val="20"/>
        </w:rPr>
        <w:tab/>
      </w:r>
      <w:r w:rsidR="00CE6C81"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360688" cy="84658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688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36" w:rsidRDefault="006C4236">
      <w:pPr>
        <w:pStyle w:val="Corpodeltesto"/>
        <w:rPr>
          <w:rFonts w:ascii="Times New Roman"/>
          <w:sz w:val="20"/>
        </w:rPr>
      </w:pPr>
    </w:p>
    <w:p w:rsidR="006C4236" w:rsidRDefault="006C4236">
      <w:pPr>
        <w:pStyle w:val="Corpodeltesto"/>
        <w:rPr>
          <w:rFonts w:ascii="Times New Roman"/>
          <w:sz w:val="20"/>
        </w:rPr>
      </w:pPr>
    </w:p>
    <w:p w:rsidR="006C4236" w:rsidRDefault="006C4236">
      <w:pPr>
        <w:pStyle w:val="Corpodeltesto"/>
        <w:rPr>
          <w:rFonts w:ascii="Times New Roman"/>
          <w:sz w:val="20"/>
        </w:rPr>
      </w:pPr>
    </w:p>
    <w:p w:rsidR="006C4236" w:rsidRDefault="006C4236">
      <w:pPr>
        <w:pStyle w:val="Corpodeltesto"/>
        <w:rPr>
          <w:rFonts w:ascii="Times New Roman"/>
          <w:sz w:val="20"/>
        </w:rPr>
      </w:pPr>
    </w:p>
    <w:p w:rsidR="006C4236" w:rsidRDefault="006C4236">
      <w:pPr>
        <w:pStyle w:val="Corpodeltesto"/>
        <w:rPr>
          <w:rFonts w:ascii="Times New Roman"/>
          <w:sz w:val="20"/>
        </w:rPr>
      </w:pPr>
    </w:p>
    <w:p w:rsidR="006C4236" w:rsidRDefault="006C4236">
      <w:pPr>
        <w:pStyle w:val="Corpodeltesto"/>
        <w:spacing w:before="11"/>
        <w:rPr>
          <w:rFonts w:ascii="Times New Roman"/>
          <w:sz w:val="29"/>
        </w:rPr>
      </w:pPr>
    </w:p>
    <w:p w:rsidR="006C4236" w:rsidRDefault="00CE6C81">
      <w:pPr>
        <w:pStyle w:val="Heading1"/>
        <w:spacing w:before="107" w:line="244" w:lineRule="auto"/>
        <w:ind w:right="934"/>
      </w:pPr>
      <w:r>
        <w:rPr>
          <w:color w:val="4F82BE"/>
        </w:rPr>
        <w:t>Report Nazionale sui Programmi di Monitoraggio per la Direttiva sulla Strategia</w:t>
      </w:r>
      <w:r>
        <w:rPr>
          <w:color w:val="4F82BE"/>
          <w:spacing w:val="55"/>
        </w:rPr>
        <w:t xml:space="preserve"> </w:t>
      </w:r>
      <w:r>
        <w:rPr>
          <w:color w:val="4F82BE"/>
        </w:rPr>
        <w:t>Marina</w:t>
      </w:r>
    </w:p>
    <w:p w:rsidR="006C4236" w:rsidRDefault="00CE6C81">
      <w:pPr>
        <w:spacing w:line="525" w:lineRule="exact"/>
        <w:ind w:left="893" w:right="932"/>
        <w:jc w:val="center"/>
        <w:rPr>
          <w:b/>
          <w:sz w:val="43"/>
        </w:rPr>
      </w:pPr>
      <w:r>
        <w:rPr>
          <w:b/>
          <w:color w:val="4F82BE"/>
          <w:sz w:val="43"/>
        </w:rPr>
        <w:t>Art. 11, Dir. 2008/56/CE</w:t>
      </w:r>
    </w:p>
    <w:p w:rsidR="006C4236" w:rsidRDefault="006C4236">
      <w:pPr>
        <w:pStyle w:val="Corpodeltesto"/>
        <w:spacing w:before="3"/>
        <w:rPr>
          <w:b/>
          <w:sz w:val="66"/>
        </w:rPr>
      </w:pPr>
    </w:p>
    <w:p w:rsidR="006C4236" w:rsidRDefault="00CE6C81">
      <w:pPr>
        <w:ind w:left="893" w:right="932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Giugno 2020</w:t>
      </w:r>
    </w:p>
    <w:p w:rsidR="006C4236" w:rsidRDefault="006C4236">
      <w:pPr>
        <w:pStyle w:val="Corpodeltesto"/>
        <w:spacing w:before="4"/>
        <w:rPr>
          <w:b/>
          <w:i/>
          <w:sz w:val="29"/>
        </w:rPr>
      </w:pPr>
      <w:r w:rsidRPr="006C4236">
        <w:pict>
          <v:group id="_x0000_s1041" style="position:absolute;margin-left:151.2pt;margin-top:19.9pt;width:285.85pt;height:174pt;z-index:-251657216;mso-wrap-distance-left:0;mso-wrap-distance-right:0;mso-position-horizontal-relative:page" coordorigin="3024,398" coordsize="5717,3480">
            <v:shape id="_x0000_s1043" style="position:absolute;left:3033;top:407;width:5698;height:3461" coordorigin="3034,407" coordsize="5698,3461" path="m3466,407r-78,7l3314,434r-67,32l3187,509r-52,51l3092,621r-32,67l3041,761r-7,78l3034,3436r7,78l3060,3588r32,67l3135,3715r52,52l3247,3810r67,31l3388,3861r78,7l8299,3868r77,-7l8449,3841r67,-31l8576,3767r52,-52l8671,3655r33,-67l8724,3514r7,-78l8731,839r-7,-78l8704,688r-33,-67l8628,560r-52,-51l8516,466r-67,-32l8376,414r-77,-7l3466,407xe" filled="f" strokecolor="#002060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024;top:397;width:5717;height:3480" filled="f" stroked="f">
              <v:textbox inset="0,0,0,0">
                <w:txbxContent>
                  <w:p w:rsidR="006C4236" w:rsidRDefault="00CE6C81">
                    <w:pPr>
                      <w:spacing w:before="218" w:line="247" w:lineRule="auto"/>
                      <w:ind w:left="1499" w:right="1498" w:firstLine="432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Descrittore 11 Rumore</w:t>
                    </w:r>
                    <w:r>
                      <w:rPr>
                        <w:spacing w:val="67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</w:rPr>
                      <w:t>sottomarino</w:t>
                    </w:r>
                  </w:p>
                  <w:p w:rsidR="006C4236" w:rsidRDefault="00CE6C81">
                    <w:pPr>
                      <w:spacing w:before="272" w:line="242" w:lineRule="auto"/>
                      <w:ind w:left="283" w:right="28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L’introduzione di energia, comprese le fonti sonore sottomarine, è a livelli che non hanno effetti negativi sull’ambiente marino.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4236" w:rsidRDefault="006C4236">
      <w:pPr>
        <w:pStyle w:val="Corpodeltesto"/>
        <w:rPr>
          <w:b/>
          <w:i/>
          <w:sz w:val="20"/>
        </w:rPr>
      </w:pPr>
    </w:p>
    <w:p w:rsidR="006C4236" w:rsidRDefault="006C4236">
      <w:pPr>
        <w:pStyle w:val="Corpodeltesto"/>
        <w:rPr>
          <w:b/>
          <w:i/>
          <w:sz w:val="20"/>
        </w:rPr>
      </w:pPr>
    </w:p>
    <w:p w:rsidR="006C4236" w:rsidRDefault="006C4236">
      <w:pPr>
        <w:pStyle w:val="Corpodeltesto"/>
        <w:rPr>
          <w:b/>
          <w:i/>
          <w:sz w:val="20"/>
        </w:rPr>
      </w:pPr>
    </w:p>
    <w:p w:rsidR="006C4236" w:rsidRDefault="006C4236">
      <w:pPr>
        <w:pStyle w:val="Corpodeltesto"/>
        <w:rPr>
          <w:b/>
          <w:i/>
          <w:sz w:val="20"/>
        </w:rPr>
      </w:pPr>
    </w:p>
    <w:p w:rsidR="006C4236" w:rsidRDefault="006C4236">
      <w:pPr>
        <w:pStyle w:val="Corpodeltesto"/>
        <w:rPr>
          <w:b/>
          <w:i/>
          <w:sz w:val="20"/>
        </w:rPr>
      </w:pPr>
    </w:p>
    <w:p w:rsidR="006C4236" w:rsidRDefault="006C4236">
      <w:pPr>
        <w:pStyle w:val="Corpodeltesto"/>
        <w:rPr>
          <w:b/>
          <w:i/>
          <w:sz w:val="20"/>
        </w:rPr>
      </w:pPr>
    </w:p>
    <w:p w:rsidR="006C4236" w:rsidRDefault="00CE6C81">
      <w:pPr>
        <w:pStyle w:val="Corpodeltesto"/>
        <w:spacing w:before="11"/>
        <w:rPr>
          <w:b/>
          <w:i/>
          <w:sz w:val="17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163675</wp:posOffset>
            </wp:positionV>
            <wp:extent cx="6048266" cy="165201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26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236" w:rsidRDefault="006C4236">
      <w:pPr>
        <w:rPr>
          <w:sz w:val="17"/>
        </w:rPr>
        <w:sectPr w:rsidR="006C4236">
          <w:type w:val="continuous"/>
          <w:pgSz w:w="11910" w:h="16840"/>
          <w:pgMar w:top="1560" w:right="620" w:bottom="280" w:left="680" w:header="720" w:footer="720" w:gutter="0"/>
          <w:cols w:space="720"/>
        </w:sectPr>
      </w:pPr>
    </w:p>
    <w:p w:rsidR="006C4236" w:rsidRDefault="00CE6C81">
      <w:pPr>
        <w:spacing w:before="81"/>
        <w:ind w:left="874" w:right="934"/>
        <w:jc w:val="center"/>
        <w:rPr>
          <w:b/>
          <w:sz w:val="21"/>
        </w:rPr>
      </w:pPr>
      <w:r>
        <w:rPr>
          <w:b/>
          <w:w w:val="105"/>
          <w:sz w:val="21"/>
        </w:rPr>
        <w:lastRenderedPageBreak/>
        <w:t>INDICE</w:t>
      </w:r>
    </w:p>
    <w:p w:rsidR="006C4236" w:rsidRDefault="006C4236">
      <w:pPr>
        <w:pStyle w:val="Corpodeltesto"/>
        <w:rPr>
          <w:b/>
          <w:sz w:val="20"/>
        </w:rPr>
      </w:pPr>
    </w:p>
    <w:p w:rsidR="006C4236" w:rsidRDefault="006C4236">
      <w:pPr>
        <w:pStyle w:val="Corpodeltesto"/>
        <w:rPr>
          <w:b/>
          <w:sz w:val="20"/>
        </w:rPr>
      </w:pPr>
    </w:p>
    <w:p w:rsidR="006C4236" w:rsidRDefault="006C4236">
      <w:pPr>
        <w:pStyle w:val="Corpodel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779" w:type="dxa"/>
        <w:tblLayout w:type="fixed"/>
        <w:tblLook w:val="01E0"/>
      </w:tblPr>
      <w:tblGrid>
        <w:gridCol w:w="6641"/>
        <w:gridCol w:w="448"/>
      </w:tblGrid>
      <w:tr w:rsidR="006C4236">
        <w:trPr>
          <w:trHeight w:val="287"/>
        </w:trPr>
        <w:tc>
          <w:tcPr>
            <w:tcW w:w="6641" w:type="dxa"/>
          </w:tcPr>
          <w:p w:rsidR="006C4236" w:rsidRDefault="00CE6C81">
            <w:pPr>
              <w:pStyle w:val="TableParagraph"/>
              <w:spacing w:before="5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Descrizione della strategia di monitoraggio</w:t>
            </w:r>
          </w:p>
        </w:tc>
        <w:tc>
          <w:tcPr>
            <w:tcW w:w="448" w:type="dxa"/>
          </w:tcPr>
          <w:p w:rsidR="006C4236" w:rsidRDefault="00CE6C81">
            <w:pPr>
              <w:pStyle w:val="TableParagraph"/>
              <w:spacing w:before="5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p3 </w:t>
            </w:r>
          </w:p>
        </w:tc>
      </w:tr>
      <w:tr w:rsidR="006C4236">
        <w:trPr>
          <w:trHeight w:val="309"/>
        </w:trPr>
        <w:tc>
          <w:tcPr>
            <w:tcW w:w="6641" w:type="dxa"/>
          </w:tcPr>
          <w:p w:rsidR="006C4236" w:rsidRDefault="00CE6C81">
            <w:pPr>
              <w:pStyle w:val="TableParagraph"/>
              <w:spacing w:before="30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Tempistiche per l ’ adozione dei programmi di monitoraggio</w:t>
            </w:r>
          </w:p>
        </w:tc>
        <w:tc>
          <w:tcPr>
            <w:tcW w:w="448" w:type="dxa"/>
          </w:tcPr>
          <w:p w:rsidR="006C4236" w:rsidRDefault="00CE6C81">
            <w:pPr>
              <w:pStyle w:val="TableParagraph"/>
              <w:spacing w:before="30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p3 </w:t>
            </w:r>
          </w:p>
        </w:tc>
      </w:tr>
      <w:tr w:rsidR="006C4236">
        <w:trPr>
          <w:trHeight w:val="307"/>
        </w:trPr>
        <w:tc>
          <w:tcPr>
            <w:tcW w:w="6641" w:type="dxa"/>
          </w:tcPr>
          <w:p w:rsidR="006C4236" w:rsidRDefault="00CE6C81"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Criteri correlati</w:t>
            </w:r>
          </w:p>
        </w:tc>
        <w:tc>
          <w:tcPr>
            <w:tcW w:w="448" w:type="dxa"/>
          </w:tcPr>
          <w:p w:rsidR="006C4236" w:rsidRDefault="00CE6C81">
            <w:pPr>
              <w:pStyle w:val="TableParagraph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p3 </w:t>
            </w:r>
          </w:p>
        </w:tc>
      </w:tr>
      <w:tr w:rsidR="006C4236">
        <w:trPr>
          <w:trHeight w:val="309"/>
        </w:trPr>
        <w:tc>
          <w:tcPr>
            <w:tcW w:w="6641" w:type="dxa"/>
          </w:tcPr>
          <w:p w:rsidR="006C4236" w:rsidRDefault="00CE6C81"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GES e target correlati</w:t>
            </w:r>
          </w:p>
        </w:tc>
        <w:tc>
          <w:tcPr>
            <w:tcW w:w="448" w:type="dxa"/>
          </w:tcPr>
          <w:p w:rsidR="006C4236" w:rsidRDefault="00CE6C81">
            <w:pPr>
              <w:pStyle w:val="TableParagraph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p4 </w:t>
            </w:r>
          </w:p>
        </w:tc>
      </w:tr>
      <w:tr w:rsidR="006C4236">
        <w:trPr>
          <w:trHeight w:val="309"/>
        </w:trPr>
        <w:tc>
          <w:tcPr>
            <w:tcW w:w="6641" w:type="dxa"/>
          </w:tcPr>
          <w:p w:rsidR="006C4236" w:rsidRDefault="00CE6C81">
            <w:pPr>
              <w:pStyle w:val="TableParagraph"/>
              <w:spacing w:before="30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Cooperazione regionale</w:t>
            </w:r>
          </w:p>
        </w:tc>
        <w:tc>
          <w:tcPr>
            <w:tcW w:w="448" w:type="dxa"/>
          </w:tcPr>
          <w:p w:rsidR="006C4236" w:rsidRDefault="00CE6C81">
            <w:pPr>
              <w:pStyle w:val="TableParagraph"/>
              <w:spacing w:before="30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p4 </w:t>
            </w:r>
          </w:p>
        </w:tc>
      </w:tr>
      <w:tr w:rsidR="006C4236">
        <w:trPr>
          <w:trHeight w:val="307"/>
        </w:trPr>
        <w:tc>
          <w:tcPr>
            <w:tcW w:w="6641" w:type="dxa"/>
          </w:tcPr>
          <w:p w:rsidR="006C4236" w:rsidRDefault="00CE6C81"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Misure correlate</w:t>
            </w:r>
          </w:p>
        </w:tc>
        <w:tc>
          <w:tcPr>
            <w:tcW w:w="448" w:type="dxa"/>
          </w:tcPr>
          <w:p w:rsidR="006C4236" w:rsidRDefault="00CE6C81">
            <w:pPr>
              <w:pStyle w:val="TableParagraph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p5 </w:t>
            </w:r>
          </w:p>
        </w:tc>
      </w:tr>
      <w:tr w:rsidR="006C4236">
        <w:trPr>
          <w:trHeight w:val="285"/>
        </w:trPr>
        <w:tc>
          <w:tcPr>
            <w:tcW w:w="6641" w:type="dxa"/>
          </w:tcPr>
          <w:p w:rsidR="006C4236" w:rsidRDefault="00CE6C81">
            <w:pPr>
              <w:pStyle w:val="TableParagraph"/>
              <w:spacing w:line="238" w:lineRule="exact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Programmi di monitoraggio</w:t>
            </w:r>
          </w:p>
        </w:tc>
        <w:tc>
          <w:tcPr>
            <w:tcW w:w="448" w:type="dxa"/>
          </w:tcPr>
          <w:p w:rsidR="006C4236" w:rsidRDefault="00CE6C81">
            <w:pPr>
              <w:pStyle w:val="TableParagraph"/>
              <w:spacing w:line="238" w:lineRule="exact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p5 </w:t>
            </w:r>
          </w:p>
        </w:tc>
      </w:tr>
    </w:tbl>
    <w:p w:rsidR="006C4236" w:rsidRDefault="006C4236">
      <w:pPr>
        <w:spacing w:line="238" w:lineRule="exact"/>
        <w:jc w:val="right"/>
        <w:rPr>
          <w:sz w:val="21"/>
        </w:rPr>
        <w:sectPr w:rsidR="006C4236">
          <w:footerReference w:type="default" r:id="rId11"/>
          <w:pgSz w:w="11910" w:h="16840"/>
          <w:pgMar w:top="1340" w:right="620" w:bottom="1000" w:left="680" w:header="0" w:footer="810" w:gutter="0"/>
          <w:pgNumType w:start="2"/>
          <w:cols w:space="720"/>
        </w:sectPr>
      </w:pPr>
    </w:p>
    <w:p w:rsidR="006C4236" w:rsidRDefault="006C4236">
      <w:pPr>
        <w:pStyle w:val="Corpodeltesto"/>
        <w:ind w:left="433"/>
        <w:rPr>
          <w:sz w:val="20"/>
        </w:rPr>
      </w:pPr>
      <w:r w:rsidRPr="006C4236">
        <w:lastRenderedPageBreak/>
        <w:pict>
          <v:line id="_x0000_s1040" style="position:absolute;left:0;text-align:left;z-index:251667456;mso-position-horizontal-relative:page;mso-position-vertical-relative:page" from="55.7pt,138.5pt" to="540.5pt,138.5pt" strokecolor="#0070c0" strokeweight=".48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 id="_x0000_s1039" type="#_x0000_t202" style="width:484.8pt;height:67pt;mso-position-horizontal-relative:char;mso-position-vertical-relative:line" fillcolor="#002060" stroked="f">
            <v:textbox inset="0,0,0,0">
              <w:txbxContent>
                <w:p w:rsidR="006C4236" w:rsidRDefault="00CE6C81">
                  <w:pPr>
                    <w:spacing w:line="437" w:lineRule="exact"/>
                    <w:ind w:left="1967" w:right="1967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Strategia di monitoraggio</w:t>
                  </w:r>
                </w:p>
                <w:p w:rsidR="006C4236" w:rsidRDefault="006C4236">
                  <w:pPr>
                    <w:pStyle w:val="Corpodeltesto"/>
                    <w:spacing w:before="11"/>
                    <w:rPr>
                      <w:b/>
                      <w:sz w:val="35"/>
                    </w:rPr>
                  </w:pPr>
                </w:p>
                <w:p w:rsidR="006C4236" w:rsidRDefault="00CE6C81">
                  <w:pPr>
                    <w:ind w:left="1967" w:right="1967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DESCRITTORE 11 – Rumore subacqueo</w:t>
                  </w:r>
                </w:p>
              </w:txbxContent>
            </v:textbox>
            <w10:wrap type="none"/>
            <w10:anchorlock/>
          </v:shape>
        </w:pict>
      </w:r>
    </w:p>
    <w:p w:rsidR="006C4236" w:rsidRDefault="006C4236">
      <w:pPr>
        <w:pStyle w:val="Corpodeltesto"/>
        <w:spacing w:before="11"/>
        <w:rPr>
          <w:b/>
          <w:sz w:val="26"/>
        </w:rPr>
      </w:pPr>
      <w:r w:rsidRPr="006C4236">
        <w:pict>
          <v:line id="_x0000_s1038" style="position:absolute;z-index:-251653120;mso-wrap-distance-left:0;mso-wrap-distance-right:0;mso-position-horizontal-relative:page" from="61.45pt,18.65pt" to="534.7pt,18.65pt" strokecolor="#0070c0" strokeweight=".48pt">
            <w10:wrap type="topAndBottom" anchorx="page"/>
          </v:line>
        </w:pict>
      </w:r>
    </w:p>
    <w:p w:rsidR="006C4236" w:rsidRDefault="00CE6C81">
      <w:pPr>
        <w:pStyle w:val="Heading2"/>
        <w:numPr>
          <w:ilvl w:val="0"/>
          <w:numId w:val="2"/>
        </w:numPr>
        <w:tabs>
          <w:tab w:val="left" w:pos="1183"/>
        </w:tabs>
        <w:spacing w:before="30" w:after="22"/>
        <w:ind w:hanging="361"/>
      </w:pPr>
      <w:r>
        <w:rPr>
          <w:color w:val="002060"/>
        </w:rPr>
        <w:t>Descrizione della strategia di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monitoraggio</w:t>
      </w:r>
    </w:p>
    <w:p w:rsidR="006C4236" w:rsidRDefault="006C4236">
      <w:pPr>
        <w:pStyle w:val="Corpodeltesto"/>
        <w:spacing w:line="20" w:lineRule="exact"/>
        <w:ind w:left="7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61.05pt;height:.5pt;mso-position-horizontal-relative:char;mso-position-vertical-relative:line" coordsize="9221,10">
            <v:line id="_x0000_s1037" style="position:absolute" from="0,5" to="9221,5" strokecolor="#0070c0" strokeweight=".48pt"/>
            <w10:wrap type="none"/>
            <w10:anchorlock/>
          </v:group>
        </w:pict>
      </w:r>
    </w:p>
    <w:p w:rsidR="006C4236" w:rsidRDefault="006C4236">
      <w:pPr>
        <w:pStyle w:val="Corpodeltesto"/>
        <w:spacing w:before="1"/>
        <w:rPr>
          <w:b/>
          <w:sz w:val="15"/>
        </w:rPr>
      </w:pPr>
    </w:p>
    <w:p w:rsidR="006C4236" w:rsidRDefault="00CE6C81">
      <w:pPr>
        <w:spacing w:before="100"/>
        <w:ind w:left="575" w:right="614"/>
        <w:jc w:val="both"/>
        <w:rPr>
          <w:i/>
          <w:sz w:val="24"/>
        </w:rPr>
      </w:pPr>
      <w:r>
        <w:rPr>
          <w:i/>
          <w:sz w:val="24"/>
        </w:rPr>
        <w:t xml:space="preserve">Descrizione della strategia di monitoraggio, in che modo la strategia di monitoraggio consentirà di valutare i target e le misure per riuscire a raggiungere o mantenere il GES) compreso il rischio di non raggiungere il </w:t>
      </w:r>
      <w:r>
        <w:rPr>
          <w:i/>
          <w:sz w:val="24"/>
        </w:rPr>
        <w:t>GES. Testo libero (massimo 2500 caratteri).</w:t>
      </w:r>
    </w:p>
    <w:p w:rsidR="006C4236" w:rsidRDefault="006C4236">
      <w:pPr>
        <w:pStyle w:val="Corpodeltesto"/>
        <w:spacing w:before="4"/>
        <w:rPr>
          <w:i/>
        </w:rPr>
      </w:pPr>
    </w:p>
    <w:p w:rsidR="006C4236" w:rsidRDefault="00CE6C81">
      <w:pPr>
        <w:spacing w:line="252" w:lineRule="auto"/>
        <w:ind w:left="575" w:right="614"/>
        <w:jc w:val="both"/>
        <w:rPr>
          <w:sz w:val="21"/>
        </w:rPr>
      </w:pPr>
      <w:r>
        <w:rPr>
          <w:w w:val="105"/>
          <w:sz w:val="21"/>
        </w:rPr>
        <w:t>Monitoraggio ISPRA: La strategia di monitoraggio prevede per questa fase due azioni propedeutiche alla implementazione dei programmi di monitoraggio, e in particolare per:</w:t>
      </w:r>
    </w:p>
    <w:p w:rsidR="006C4236" w:rsidRDefault="006C4236">
      <w:pPr>
        <w:pStyle w:val="Corpodeltesto"/>
        <w:spacing w:before="12"/>
        <w:rPr>
          <w:sz w:val="21"/>
        </w:rPr>
      </w:pPr>
    </w:p>
    <w:p w:rsidR="006C4236" w:rsidRDefault="00CE6C81">
      <w:pPr>
        <w:spacing w:line="252" w:lineRule="auto"/>
        <w:ind w:left="575" w:right="616"/>
        <w:jc w:val="both"/>
        <w:rPr>
          <w:sz w:val="21"/>
        </w:rPr>
      </w:pPr>
      <w:r>
        <w:rPr>
          <w:w w:val="105"/>
          <w:sz w:val="21"/>
        </w:rPr>
        <w:t>Il D11.1: implementazione registro rum</w:t>
      </w:r>
      <w:r>
        <w:rPr>
          <w:w w:val="105"/>
          <w:sz w:val="21"/>
        </w:rPr>
        <w:t>ore subacqueo su server ISPRA; ricognizione eventuali necessità di cambiamenti 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migliorie.</w:t>
      </w:r>
    </w:p>
    <w:p w:rsidR="006C4236" w:rsidRDefault="006C4236">
      <w:pPr>
        <w:pStyle w:val="Corpodeltesto"/>
        <w:spacing w:before="11"/>
        <w:rPr>
          <w:sz w:val="21"/>
        </w:rPr>
      </w:pPr>
    </w:p>
    <w:p w:rsidR="006C4236" w:rsidRDefault="00CE6C81">
      <w:pPr>
        <w:ind w:left="575"/>
        <w:jc w:val="both"/>
        <w:rPr>
          <w:sz w:val="21"/>
        </w:rPr>
      </w:pPr>
      <w:r>
        <w:rPr>
          <w:w w:val="105"/>
          <w:sz w:val="21"/>
        </w:rPr>
        <w:t>Il D11.2: ricognizione soggetti istituzionali idonei per attuare monitoraggio rumore marino e predisporre.</w:t>
      </w:r>
    </w:p>
    <w:p w:rsidR="006C4236" w:rsidRDefault="006C4236">
      <w:pPr>
        <w:pStyle w:val="Corpodeltesto"/>
        <w:spacing w:before="8"/>
      </w:pPr>
    </w:p>
    <w:p w:rsidR="006C4236" w:rsidRDefault="00CE6C81">
      <w:pPr>
        <w:pStyle w:val="Corpodeltesto"/>
        <w:ind w:left="575" w:right="614"/>
        <w:jc w:val="both"/>
      </w:pPr>
      <w:r>
        <w:t xml:space="preserve">Una volta soddisfatti questi due presupposti (entro il </w:t>
      </w:r>
      <w:r>
        <w:t>2020) si procederà con la formulazione definitiva dei programmi di monitoraggio, la cui outline è già definita in seno alla monitoring guidance edita dal TGNoise (2014) e di cui si prevede un aggiornamento nel 2020.</w:t>
      </w:r>
    </w:p>
    <w:p w:rsidR="006C4236" w:rsidRDefault="006C4236">
      <w:pPr>
        <w:pStyle w:val="Corpodeltesto"/>
        <w:spacing w:before="11"/>
        <w:rPr>
          <w:sz w:val="23"/>
        </w:rPr>
      </w:pPr>
    </w:p>
    <w:p w:rsidR="006C4236" w:rsidRDefault="00CE6C81">
      <w:pPr>
        <w:pStyle w:val="Corpodeltesto"/>
        <w:spacing w:before="1"/>
        <w:ind w:left="575" w:right="613"/>
        <w:jc w:val="both"/>
      </w:pPr>
      <w:r>
        <w:t>I programmi di monitoraggio saranno qui</w:t>
      </w:r>
      <w:r>
        <w:t>ndi strettamente inerenti la guidance sul rumore sottomarino adottata dagli stati membri. Questa prevede che siano definiti a livello unionale i valori soglia (Threshold values TV) per i quali viene garantito il GES. Tali valori soglia sono tuttora in disc</w:t>
      </w:r>
      <w:r>
        <w:t>ussione da parte del TGNoise, è prevista la formulazione di un documento guida per i suoni impulsivi (D11.1) entro il 2020.</w:t>
      </w:r>
    </w:p>
    <w:p w:rsidR="006C4236" w:rsidRDefault="006C4236">
      <w:pPr>
        <w:pStyle w:val="Corpodeltesto"/>
        <w:rPr>
          <w:sz w:val="28"/>
        </w:rPr>
      </w:pPr>
    </w:p>
    <w:p w:rsidR="006C4236" w:rsidRDefault="006C4236">
      <w:pPr>
        <w:pStyle w:val="Corpodeltesto"/>
        <w:spacing w:before="7"/>
      </w:pPr>
    </w:p>
    <w:p w:rsidR="006C4236" w:rsidRDefault="00CE6C81">
      <w:pPr>
        <w:pStyle w:val="Heading2"/>
        <w:numPr>
          <w:ilvl w:val="0"/>
          <w:numId w:val="2"/>
        </w:numPr>
        <w:tabs>
          <w:tab w:val="left" w:pos="1183"/>
        </w:tabs>
        <w:spacing w:after="22"/>
        <w:ind w:hanging="361"/>
        <w:jc w:val="both"/>
      </w:pPr>
      <w:r>
        <w:rPr>
          <w:color w:val="002060"/>
        </w:rPr>
        <w:t>Tempistiche per l’adozione dei programmi di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monitoraggio</w:t>
      </w:r>
    </w:p>
    <w:p w:rsidR="006C4236" w:rsidRDefault="006C4236">
      <w:pPr>
        <w:pStyle w:val="Corpodeltesto"/>
        <w:spacing w:line="20" w:lineRule="exact"/>
        <w:ind w:left="7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61.05pt;height:.5pt;mso-position-horizontal-relative:char;mso-position-vertical-relative:line" coordsize="9221,10">
            <v:line id="_x0000_s1035" style="position:absolute" from="0,5" to="9221,5" strokecolor="#0070c0" strokeweight=".48pt"/>
            <w10:wrap type="none"/>
            <w10:anchorlock/>
          </v:group>
        </w:pict>
      </w:r>
    </w:p>
    <w:p w:rsidR="006C4236" w:rsidRDefault="00CE6C81">
      <w:pPr>
        <w:ind w:left="575" w:right="614"/>
        <w:jc w:val="both"/>
        <w:rPr>
          <w:i/>
          <w:sz w:val="24"/>
        </w:rPr>
      </w:pPr>
      <w:r>
        <w:rPr>
          <w:i/>
          <w:sz w:val="24"/>
        </w:rPr>
        <w:t>In riferimento al descrittore, ai suoi criteri e target definire le tempistiche per completare i programmi di monitoraggio:</w:t>
      </w:r>
    </w:p>
    <w:p w:rsidR="006C4236" w:rsidRDefault="006C4236">
      <w:pPr>
        <w:pStyle w:val="Corpodeltesto"/>
        <w:spacing w:before="11"/>
        <w:rPr>
          <w:i/>
          <w:sz w:val="23"/>
        </w:rPr>
      </w:pPr>
    </w:p>
    <w:p w:rsidR="006C4236" w:rsidRDefault="00CE6C81">
      <w:pPr>
        <w:pStyle w:val="Paragrafoelenco"/>
        <w:numPr>
          <w:ilvl w:val="1"/>
          <w:numId w:val="2"/>
        </w:numPr>
        <w:tabs>
          <w:tab w:val="left" w:pos="1296"/>
        </w:tabs>
        <w:ind w:right="613"/>
        <w:jc w:val="left"/>
        <w:rPr>
          <w:i/>
          <w:sz w:val="24"/>
        </w:rPr>
      </w:pPr>
      <w:r>
        <w:rPr>
          <w:i/>
          <w:sz w:val="24"/>
        </w:rPr>
        <w:t xml:space="preserve">entro il 2024 sarà istituito un monitoraggio adeguato (anno per i prossimi aggiornamenti degli </w:t>
      </w:r>
      <w:r>
        <w:rPr>
          <w:i/>
          <w:sz w:val="24"/>
        </w:rPr>
        <w:t>articoli 8, 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10);</w:t>
      </w:r>
    </w:p>
    <w:p w:rsidR="006C4236" w:rsidRDefault="006C4236">
      <w:pPr>
        <w:pStyle w:val="Corpodeltesto"/>
        <w:spacing w:before="8"/>
        <w:rPr>
          <w:i/>
          <w:sz w:val="28"/>
        </w:rPr>
      </w:pPr>
    </w:p>
    <w:p w:rsidR="006C4236" w:rsidRDefault="00CE6C81">
      <w:pPr>
        <w:pStyle w:val="Heading2"/>
        <w:numPr>
          <w:ilvl w:val="0"/>
          <w:numId w:val="2"/>
        </w:numPr>
        <w:tabs>
          <w:tab w:val="left" w:pos="1183"/>
        </w:tabs>
        <w:spacing w:before="1" w:after="22"/>
        <w:ind w:hanging="361"/>
        <w:jc w:val="both"/>
      </w:pPr>
      <w:r>
        <w:rPr>
          <w:color w:val="002060"/>
        </w:rPr>
        <w:t>Criteri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correlati</w:t>
      </w:r>
    </w:p>
    <w:p w:rsidR="006C4236" w:rsidRDefault="006C4236">
      <w:pPr>
        <w:pStyle w:val="Corpodeltesto"/>
        <w:spacing w:line="20" w:lineRule="exact"/>
        <w:ind w:left="7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1.05pt;height:.5pt;mso-position-horizontal-relative:char;mso-position-vertical-relative:line" coordsize="9221,10">
            <v:line id="_x0000_s1033" style="position:absolute" from="0,5" to="9221,5" strokecolor="#0070c0" strokeweight=".48pt"/>
            <w10:wrap type="none"/>
            <w10:anchorlock/>
          </v:group>
        </w:pict>
      </w:r>
    </w:p>
    <w:p w:rsidR="006C4236" w:rsidRDefault="00CE6C81">
      <w:pPr>
        <w:ind w:left="575" w:right="614"/>
        <w:jc w:val="both"/>
        <w:rPr>
          <w:i/>
          <w:sz w:val="24"/>
        </w:rPr>
      </w:pPr>
      <w:r>
        <w:rPr>
          <w:i/>
          <w:sz w:val="24"/>
        </w:rPr>
        <w:t xml:space="preserve">Specificare i criteri correlati (comprensivi di codici, ad es. D2C1 - Specie non indigene di nuova introduzione) della Nuova Decisione n. 2017/848 della CE del 17 maggio 2017 ai programmi di monitoraggio della strategia </w:t>
      </w:r>
      <w:r>
        <w:rPr>
          <w:i/>
          <w:sz w:val="24"/>
        </w:rPr>
        <w:t>di monitoraggio del descrittore.</w:t>
      </w:r>
    </w:p>
    <w:p w:rsidR="006C4236" w:rsidRDefault="006C4236">
      <w:pPr>
        <w:pStyle w:val="Corpodeltesto"/>
        <w:spacing w:before="2"/>
        <w:rPr>
          <w:i/>
          <w:sz w:val="13"/>
        </w:rPr>
      </w:pPr>
    </w:p>
    <w:p w:rsidR="006C4236" w:rsidRDefault="00CE6C81">
      <w:pPr>
        <w:spacing w:before="107"/>
        <w:ind w:left="575"/>
        <w:jc w:val="both"/>
        <w:rPr>
          <w:b/>
          <w:sz w:val="19"/>
        </w:rPr>
      </w:pPr>
      <w:r>
        <w:rPr>
          <w:b/>
          <w:w w:val="105"/>
          <w:sz w:val="19"/>
        </w:rPr>
        <w:t>Suoni impulsivi di origine antropica in acqua D11C1 — Primario:</w:t>
      </w:r>
    </w:p>
    <w:p w:rsidR="006C4236" w:rsidRDefault="006C4236">
      <w:pPr>
        <w:pStyle w:val="Corpodeltesto"/>
        <w:spacing w:before="4"/>
        <w:rPr>
          <w:b/>
          <w:sz w:val="18"/>
        </w:rPr>
      </w:pPr>
    </w:p>
    <w:p w:rsidR="006C4236" w:rsidRDefault="00CE6C81">
      <w:pPr>
        <w:spacing w:line="252" w:lineRule="auto"/>
        <w:ind w:left="462" w:right="613"/>
        <w:jc w:val="both"/>
        <w:rPr>
          <w:i/>
          <w:sz w:val="19"/>
        </w:rPr>
      </w:pPr>
      <w:r>
        <w:rPr>
          <w:i/>
          <w:w w:val="105"/>
          <w:sz w:val="19"/>
        </w:rPr>
        <w:t>La distribuzione spaziale, l’estensione temporale, e i livelli delle sorgenti sonore impulsive di origine antropica non eccedono livelli che impattano negati</w:t>
      </w:r>
      <w:r>
        <w:rPr>
          <w:i/>
          <w:w w:val="105"/>
          <w:sz w:val="19"/>
        </w:rPr>
        <w:t>vamente sulle popolazioni di animali marini. Gli stati membri devono stabilire valori soglia per questi livelli attraverso cooperazione a livello dell’Unione, prendendo in considerazione specificità locali o subregionali.</w:t>
      </w:r>
    </w:p>
    <w:p w:rsidR="006C4236" w:rsidRDefault="006C4236">
      <w:pPr>
        <w:spacing w:line="252" w:lineRule="auto"/>
        <w:jc w:val="both"/>
        <w:rPr>
          <w:sz w:val="19"/>
        </w:rPr>
        <w:sectPr w:rsidR="006C4236">
          <w:pgSz w:w="11910" w:h="16840"/>
          <w:pgMar w:top="1400" w:right="620" w:bottom="1000" w:left="680" w:header="0" w:footer="810" w:gutter="0"/>
          <w:cols w:space="720"/>
        </w:sectPr>
      </w:pPr>
    </w:p>
    <w:p w:rsidR="006C4236" w:rsidRDefault="00CE6C81">
      <w:pPr>
        <w:spacing w:before="80" w:line="254" w:lineRule="auto"/>
        <w:ind w:left="575" w:right="616"/>
        <w:jc w:val="both"/>
        <w:rPr>
          <w:sz w:val="19"/>
        </w:rPr>
      </w:pPr>
      <w:r>
        <w:rPr>
          <w:w w:val="105"/>
          <w:sz w:val="19"/>
        </w:rPr>
        <w:lastRenderedPageBreak/>
        <w:t>Durata per anno solare delle sorgenti sonore impulsive, la loro distribuzione nel corso dell’anno e la loro distribuzione spaziale nella assessment area e se i valori soglia determinati sono stati raggiunti.</w:t>
      </w:r>
    </w:p>
    <w:p w:rsidR="006C4236" w:rsidRDefault="006C4236">
      <w:pPr>
        <w:pStyle w:val="Corpodeltesto"/>
      </w:pPr>
    </w:p>
    <w:p w:rsidR="006C4236" w:rsidRDefault="00CE6C81">
      <w:pPr>
        <w:spacing w:before="166"/>
        <w:ind w:left="575"/>
        <w:jc w:val="both"/>
        <w:rPr>
          <w:b/>
          <w:sz w:val="19"/>
        </w:rPr>
      </w:pPr>
      <w:r>
        <w:rPr>
          <w:b/>
          <w:w w:val="105"/>
          <w:sz w:val="19"/>
        </w:rPr>
        <w:t>Suoni continui a bassa frequenza di origine ant</w:t>
      </w:r>
      <w:r>
        <w:rPr>
          <w:b/>
          <w:w w:val="105"/>
          <w:sz w:val="19"/>
        </w:rPr>
        <w:t>ropica in acqua D11C2 – Primario:</w:t>
      </w:r>
    </w:p>
    <w:p w:rsidR="006C4236" w:rsidRDefault="006C4236">
      <w:pPr>
        <w:pStyle w:val="Corpodeltesto"/>
        <w:spacing w:before="4"/>
        <w:rPr>
          <w:b/>
          <w:sz w:val="20"/>
        </w:rPr>
      </w:pPr>
    </w:p>
    <w:p w:rsidR="006C4236" w:rsidRDefault="00CE6C81">
      <w:pPr>
        <w:spacing w:line="252" w:lineRule="auto"/>
        <w:ind w:left="575" w:right="614"/>
        <w:jc w:val="both"/>
        <w:rPr>
          <w:i/>
          <w:sz w:val="19"/>
        </w:rPr>
      </w:pPr>
      <w:r>
        <w:rPr>
          <w:i/>
          <w:w w:val="105"/>
          <w:sz w:val="19"/>
        </w:rPr>
        <w:t xml:space="preserve">La distribuzione spaziale, l’estensione temporale, e i livelli delle sorgenti sonore continue e a bassa frequenza di origine antropica non eccedono livelli che impattano negativamente sulle popolazioni di animali marini. </w:t>
      </w:r>
      <w:r>
        <w:rPr>
          <w:i/>
          <w:w w:val="105"/>
          <w:sz w:val="19"/>
        </w:rPr>
        <w:t>Gli stati membri devono stabilire valori soglia per questi livelli attraverso cooperazione a livello dell’Unione, prendendo in considerazione specificità locali o subregionali.</w:t>
      </w:r>
    </w:p>
    <w:p w:rsidR="006C4236" w:rsidRDefault="006C4236">
      <w:pPr>
        <w:pStyle w:val="Corpodeltesto"/>
        <w:spacing w:before="1"/>
        <w:rPr>
          <w:i/>
          <w:sz w:val="20"/>
        </w:rPr>
      </w:pPr>
    </w:p>
    <w:p w:rsidR="006C4236" w:rsidRDefault="00CE6C81">
      <w:pPr>
        <w:spacing w:line="254" w:lineRule="auto"/>
        <w:ind w:left="575" w:right="614"/>
        <w:jc w:val="both"/>
        <w:rPr>
          <w:sz w:val="19"/>
        </w:rPr>
      </w:pPr>
      <w:r>
        <w:rPr>
          <w:w w:val="105"/>
          <w:sz w:val="19"/>
        </w:rPr>
        <w:t>La media annuale del livello sonoro, o altra unità di misura temporale opportu</w:t>
      </w:r>
      <w:r>
        <w:rPr>
          <w:w w:val="105"/>
          <w:sz w:val="19"/>
        </w:rPr>
        <w:t>na definita a livello regionale o subregionale per unità di area e la sua distribuzione spaziale nella assessment area e la estensione della assessment area (in % o km</w:t>
      </w:r>
      <w:r>
        <w:rPr>
          <w:w w:val="105"/>
          <w:sz w:val="19"/>
          <w:vertAlign w:val="superscript"/>
        </w:rPr>
        <w:t>2</w:t>
      </w:r>
      <w:r>
        <w:rPr>
          <w:w w:val="105"/>
          <w:sz w:val="19"/>
        </w:rPr>
        <w:t>) nella quale sono stati raggiunti i valori soglia determinati.</w:t>
      </w:r>
    </w:p>
    <w:p w:rsidR="006C4236" w:rsidRDefault="006C4236">
      <w:pPr>
        <w:pStyle w:val="Corpodeltesto"/>
        <w:rPr>
          <w:sz w:val="28"/>
        </w:rPr>
      </w:pPr>
    </w:p>
    <w:p w:rsidR="006C4236" w:rsidRDefault="006C4236">
      <w:pPr>
        <w:pStyle w:val="Corpodeltesto"/>
        <w:spacing w:before="1"/>
      </w:pPr>
    </w:p>
    <w:p w:rsidR="006C4236" w:rsidRDefault="00CE6C81">
      <w:pPr>
        <w:pStyle w:val="Heading2"/>
        <w:numPr>
          <w:ilvl w:val="0"/>
          <w:numId w:val="2"/>
        </w:numPr>
        <w:tabs>
          <w:tab w:val="left" w:pos="1183"/>
        </w:tabs>
        <w:spacing w:after="17"/>
        <w:ind w:hanging="361"/>
        <w:jc w:val="both"/>
      </w:pPr>
      <w:r>
        <w:rPr>
          <w:color w:val="002060"/>
        </w:rPr>
        <w:t>GES e Target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correlati</w:t>
      </w:r>
    </w:p>
    <w:p w:rsidR="006C4236" w:rsidRDefault="006C4236">
      <w:pPr>
        <w:pStyle w:val="Corpodeltesto"/>
        <w:spacing w:line="20" w:lineRule="exact"/>
        <w:ind w:left="7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1.05pt;height:.5pt;mso-position-horizontal-relative:char;mso-position-vertical-relative:line" coordsize="9221,10">
            <v:line id="_x0000_s1031" style="position:absolute" from="0,5" to="9221,5" strokecolor="#0070c0" strokeweight=".48pt"/>
            <w10:wrap type="none"/>
            <w10:anchorlock/>
          </v:group>
        </w:pict>
      </w:r>
    </w:p>
    <w:p w:rsidR="006C4236" w:rsidRDefault="00CE6C81">
      <w:pPr>
        <w:ind w:left="462"/>
        <w:jc w:val="both"/>
        <w:rPr>
          <w:b/>
        </w:rPr>
      </w:pPr>
      <w:r>
        <w:rPr>
          <w:b/>
          <w:w w:val="105"/>
        </w:rPr>
        <w:t>GES D11</w:t>
      </w:r>
    </w:p>
    <w:p w:rsidR="006C4236" w:rsidRDefault="006C4236">
      <w:pPr>
        <w:pStyle w:val="Corpodeltesto"/>
        <w:spacing w:before="7"/>
        <w:rPr>
          <w:b/>
          <w:sz w:val="23"/>
        </w:rPr>
      </w:pPr>
    </w:p>
    <w:p w:rsidR="006C4236" w:rsidRDefault="00CE6C81">
      <w:pPr>
        <w:pStyle w:val="Heading2"/>
        <w:ind w:left="462" w:firstLine="0"/>
      </w:pPr>
      <w:r>
        <w:t>G 11.1</w:t>
      </w:r>
    </w:p>
    <w:p w:rsidR="006C4236" w:rsidRDefault="00CE6C81">
      <w:pPr>
        <w:pStyle w:val="Corpodeltesto"/>
        <w:ind w:left="462" w:right="544"/>
      </w:pPr>
      <w:r>
        <w:t>I livelli dei suoni impulsivi di elevata intensità a bassa e media frequenza, introdotti in ambiente marino attraverso attività antropiche, sono tali da non comportare effetti negativi a lungo termine sugli ecosistemi marini e le attività antropiche che in</w:t>
      </w:r>
      <w:r>
        <w:t>troducono tali suoni sono regolate e gestite affinché non vi siano impatti significativi a lungo termine sulle specie marine a livello di popolazione.</w:t>
      </w:r>
    </w:p>
    <w:p w:rsidR="006C4236" w:rsidRDefault="006C4236">
      <w:pPr>
        <w:pStyle w:val="Corpodeltesto"/>
        <w:spacing w:before="4"/>
      </w:pPr>
    </w:p>
    <w:p w:rsidR="006C4236" w:rsidRDefault="00CE6C81">
      <w:pPr>
        <w:pStyle w:val="Heading2"/>
        <w:ind w:left="462" w:firstLine="0"/>
      </w:pPr>
      <w:r>
        <w:t>G 11.2</w:t>
      </w:r>
    </w:p>
    <w:p w:rsidR="006C4236" w:rsidRDefault="00CE6C81">
      <w:pPr>
        <w:pStyle w:val="Corpodeltesto"/>
        <w:ind w:left="462" w:right="718"/>
      </w:pPr>
      <w:r>
        <w:t xml:space="preserve">I livelli dei suoni continui a bassa frequenza introdotti in ambiente marino attraverso attività </w:t>
      </w:r>
      <w:r>
        <w:t>antropiche sono tali da non comportare effetti negativi a lungo termine sugli ecosistemi marini e sono tali da non comportare il rischio di eventuali impatti comportamentali o percettivi sulle specie marine a livello di popolazione.</w:t>
      </w:r>
    </w:p>
    <w:p w:rsidR="006C4236" w:rsidRDefault="00CE6C81">
      <w:pPr>
        <w:pStyle w:val="Heading2"/>
        <w:spacing w:before="52" w:line="586" w:lineRule="exact"/>
        <w:ind w:left="462" w:right="7175" w:firstLine="0"/>
      </w:pPr>
      <w:r>
        <w:t>Traguardi Ambientali (T</w:t>
      </w:r>
      <w:r>
        <w:t>arget) T 11.1</w:t>
      </w:r>
    </w:p>
    <w:p w:rsidR="006C4236" w:rsidRDefault="00CE6C81">
      <w:pPr>
        <w:pStyle w:val="Corpodeltesto"/>
        <w:spacing w:line="240" w:lineRule="exact"/>
        <w:ind w:left="462"/>
      </w:pPr>
      <w:r>
        <w:t>E’ implementato e reso operativo un Registro nazionale dei suoni impulsivi che tenga conto di</w:t>
      </w:r>
    </w:p>
    <w:p w:rsidR="006C4236" w:rsidRDefault="00CE6C81">
      <w:pPr>
        <w:pStyle w:val="Corpodeltesto"/>
        <w:ind w:left="462" w:right="727"/>
      </w:pPr>
      <w:r>
        <w:t>tutte le attività antropiche che introducono suoni impulsivi nel range 10 Hz – 10 kHz in ambiente marino.</w:t>
      </w:r>
    </w:p>
    <w:p w:rsidR="006C4236" w:rsidRDefault="00CE6C81">
      <w:pPr>
        <w:pStyle w:val="Heading2"/>
        <w:spacing w:line="293" w:lineRule="exact"/>
        <w:ind w:left="462" w:firstLine="0"/>
      </w:pPr>
      <w:r>
        <w:t>T 11.2</w:t>
      </w:r>
    </w:p>
    <w:p w:rsidR="006C4236" w:rsidRDefault="00CE6C81">
      <w:pPr>
        <w:pStyle w:val="Corpodeltesto"/>
        <w:ind w:left="462" w:right="863"/>
      </w:pPr>
      <w:r>
        <w:t>E’ definito un “baseline level” per</w:t>
      </w:r>
      <w:r>
        <w:t xml:space="preserve"> i suoni continui a bassa frequenza (“ambient noise”) nelle tre Sottoregioni marine.</w:t>
      </w:r>
    </w:p>
    <w:p w:rsidR="006C4236" w:rsidRDefault="006C4236">
      <w:pPr>
        <w:pStyle w:val="Corpodeltesto"/>
        <w:spacing w:before="8"/>
        <w:rPr>
          <w:sz w:val="28"/>
        </w:rPr>
      </w:pPr>
    </w:p>
    <w:p w:rsidR="006C4236" w:rsidRDefault="00CE6C81">
      <w:pPr>
        <w:pStyle w:val="Heading2"/>
        <w:numPr>
          <w:ilvl w:val="0"/>
          <w:numId w:val="2"/>
        </w:numPr>
        <w:tabs>
          <w:tab w:val="left" w:pos="1183"/>
        </w:tabs>
        <w:spacing w:after="22"/>
        <w:ind w:hanging="361"/>
        <w:jc w:val="both"/>
      </w:pPr>
      <w:r>
        <w:rPr>
          <w:color w:val="002060"/>
        </w:rPr>
        <w:t>Cooperazione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regionale</w:t>
      </w:r>
    </w:p>
    <w:p w:rsidR="006C4236" w:rsidRDefault="006C4236">
      <w:pPr>
        <w:pStyle w:val="Corpodeltesto"/>
        <w:spacing w:line="20" w:lineRule="exact"/>
        <w:ind w:left="7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1.05pt;height:.5pt;mso-position-horizontal-relative:char;mso-position-vertical-relative:line" coordsize="9221,10">
            <v:line id="_x0000_s1029" style="position:absolute" from="0,5" to="9221,5" strokecolor="#0070c0" strokeweight=".48pt"/>
            <w10:wrap type="none"/>
            <w10:anchorlock/>
          </v:group>
        </w:pict>
      </w:r>
    </w:p>
    <w:p w:rsidR="006C4236" w:rsidRDefault="00CE6C81">
      <w:pPr>
        <w:pStyle w:val="Corpodeltesto"/>
        <w:spacing w:before="59" w:line="295" w:lineRule="auto"/>
        <w:ind w:left="462" w:right="698"/>
        <w:jc w:val="both"/>
      </w:pPr>
      <w:r>
        <w:t>La cooperazione regionale viene condotta in ambito EU Tecnical Group on Underwater Noise (TG Noise) e tramite il Programma di Ricerca QuietMed 2, A Joint programme for GES assessment on D11- noise in the Mediterranean Marine Region, finanziato dalla CE, DG</w:t>
      </w:r>
      <w:r>
        <w:t>-ENV.</w:t>
      </w:r>
    </w:p>
    <w:p w:rsidR="006C4236" w:rsidRDefault="006C4236">
      <w:pPr>
        <w:spacing w:line="295" w:lineRule="auto"/>
        <w:jc w:val="both"/>
        <w:sectPr w:rsidR="006C4236">
          <w:pgSz w:w="11910" w:h="16840"/>
          <w:pgMar w:top="1580" w:right="620" w:bottom="1000" w:left="680" w:header="0" w:footer="810" w:gutter="0"/>
          <w:cols w:space="720"/>
        </w:sectPr>
      </w:pPr>
    </w:p>
    <w:p w:rsidR="006C4236" w:rsidRDefault="00CE6C81">
      <w:pPr>
        <w:tabs>
          <w:tab w:val="left" w:pos="10014"/>
        </w:tabs>
        <w:spacing w:before="71"/>
        <w:ind w:left="793"/>
        <w:rPr>
          <w:b/>
          <w:sz w:val="24"/>
        </w:rPr>
      </w:pPr>
      <w:r>
        <w:rPr>
          <w:rFonts w:ascii="Times New Roman"/>
          <w:color w:val="002060"/>
          <w:spacing w:val="-32"/>
          <w:sz w:val="24"/>
          <w:u w:val="single" w:color="0070C0"/>
        </w:rPr>
        <w:lastRenderedPageBreak/>
        <w:t xml:space="preserve"> </w:t>
      </w:r>
      <w:r>
        <w:rPr>
          <w:b/>
          <w:color w:val="002060"/>
          <w:sz w:val="24"/>
          <w:u w:val="single" w:color="0070C0"/>
        </w:rPr>
        <w:t xml:space="preserve">6.   Misure correlate al </w:t>
      </w:r>
      <w:r>
        <w:rPr>
          <w:b/>
          <w:sz w:val="24"/>
          <w:u w:val="single" w:color="0070C0"/>
        </w:rPr>
        <w:t>MSFD28 Input</w:t>
      </w:r>
      <w:r>
        <w:rPr>
          <w:b/>
          <w:spacing w:val="8"/>
          <w:sz w:val="24"/>
          <w:u w:val="single" w:color="0070C0"/>
        </w:rPr>
        <w:t xml:space="preserve"> </w:t>
      </w:r>
      <w:r>
        <w:rPr>
          <w:b/>
          <w:sz w:val="24"/>
          <w:u w:val="single" w:color="0070C0"/>
        </w:rPr>
        <w:t>energetici</w:t>
      </w:r>
      <w:r>
        <w:rPr>
          <w:b/>
          <w:sz w:val="24"/>
          <w:u w:val="single" w:color="0070C0"/>
        </w:rPr>
        <w:tab/>
      </w:r>
    </w:p>
    <w:p w:rsidR="006C4236" w:rsidRDefault="006C4236">
      <w:pPr>
        <w:pStyle w:val="Corpodeltesto"/>
        <w:rPr>
          <w:b/>
          <w:sz w:val="20"/>
        </w:rPr>
      </w:pPr>
    </w:p>
    <w:p w:rsidR="006C4236" w:rsidRDefault="006C4236">
      <w:pPr>
        <w:pStyle w:val="Corpodeltesto"/>
        <w:rPr>
          <w:b/>
          <w:sz w:val="20"/>
        </w:rPr>
      </w:pPr>
    </w:p>
    <w:p w:rsidR="006C4236" w:rsidRDefault="006C4236">
      <w:pPr>
        <w:pStyle w:val="Corpodel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7512"/>
      </w:tblGrid>
      <w:tr w:rsidR="006C4236">
        <w:trPr>
          <w:trHeight w:val="307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shd w:val="clear" w:color="auto" w:fill="A6A6A6"/>
          </w:tcPr>
          <w:p w:rsidR="006C4236" w:rsidRDefault="00CE6C81">
            <w:pPr>
              <w:pStyle w:val="TableParagraph"/>
              <w:tabs>
                <w:tab w:val="left" w:pos="1348"/>
              </w:tabs>
              <w:spacing w:before="11"/>
              <w:ind w:left="76"/>
              <w:rPr>
                <w:sz w:val="21"/>
              </w:rPr>
            </w:pPr>
            <w:r>
              <w:rPr>
                <w:w w:val="105"/>
                <w:sz w:val="21"/>
              </w:rPr>
              <w:t>Codice</w:t>
            </w:r>
            <w:r>
              <w:rPr>
                <w:w w:val="105"/>
                <w:sz w:val="21"/>
              </w:rPr>
              <w:tab/>
              <w:t>Denominazione</w:t>
            </w:r>
          </w:p>
        </w:tc>
      </w:tr>
      <w:tr w:rsidR="006C4236">
        <w:trPr>
          <w:trHeight w:val="321"/>
        </w:trPr>
        <w:tc>
          <w:tcPr>
            <w:tcW w:w="1272" w:type="dxa"/>
          </w:tcPr>
          <w:p w:rsidR="006C4236" w:rsidRDefault="00CE6C81">
            <w:pPr>
              <w:pStyle w:val="TableParagraph"/>
              <w:spacing w:before="2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MADIT-M085</w:t>
            </w:r>
          </w:p>
        </w:tc>
        <w:tc>
          <w:tcPr>
            <w:tcW w:w="7512" w:type="dxa"/>
            <w:vMerge w:val="restart"/>
          </w:tcPr>
          <w:p w:rsidR="006C4236" w:rsidRDefault="006C423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C4236" w:rsidRDefault="00CE6C81">
            <w:pPr>
              <w:pStyle w:val="TableParagraph"/>
              <w:spacing w:before="0"/>
              <w:ind w:left="1851"/>
              <w:rPr>
                <w:sz w:val="19"/>
              </w:rPr>
            </w:pPr>
            <w:r>
              <w:rPr>
                <w:w w:val="105"/>
                <w:sz w:val="19"/>
              </w:rPr>
              <w:t>VIA, VAS e Valutazione di incidenza ambientale</w:t>
            </w:r>
          </w:p>
        </w:tc>
      </w:tr>
      <w:tr w:rsidR="006C4236">
        <w:trPr>
          <w:trHeight w:val="316"/>
        </w:trPr>
        <w:tc>
          <w:tcPr>
            <w:tcW w:w="1272" w:type="dxa"/>
          </w:tcPr>
          <w:p w:rsidR="006C4236" w:rsidRDefault="00CE6C81">
            <w:pPr>
              <w:pStyle w:val="TableParagraph"/>
              <w:spacing w:before="2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MICIT-M084</w:t>
            </w:r>
          </w:p>
        </w:tc>
        <w:tc>
          <w:tcPr>
            <w:tcW w:w="7512" w:type="dxa"/>
            <w:vMerge/>
            <w:tcBorders>
              <w:top w:val="nil"/>
            </w:tcBorders>
          </w:tcPr>
          <w:p w:rsidR="006C4236" w:rsidRDefault="006C4236">
            <w:pPr>
              <w:rPr>
                <w:sz w:val="2"/>
                <w:szCs w:val="2"/>
              </w:rPr>
            </w:pPr>
          </w:p>
        </w:tc>
      </w:tr>
      <w:tr w:rsidR="006C4236">
        <w:trPr>
          <w:trHeight w:val="321"/>
        </w:trPr>
        <w:tc>
          <w:tcPr>
            <w:tcW w:w="1272" w:type="dxa"/>
          </w:tcPr>
          <w:p w:rsidR="006C4236" w:rsidRDefault="00CE6C81">
            <w:pPr>
              <w:pStyle w:val="TableParagraph"/>
              <w:spacing w:before="49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MWEIT-M087</w:t>
            </w:r>
          </w:p>
        </w:tc>
        <w:tc>
          <w:tcPr>
            <w:tcW w:w="7512" w:type="dxa"/>
            <w:vMerge/>
            <w:tcBorders>
              <w:top w:val="nil"/>
            </w:tcBorders>
          </w:tcPr>
          <w:p w:rsidR="006C4236" w:rsidRDefault="006C4236">
            <w:pPr>
              <w:rPr>
                <w:sz w:val="2"/>
                <w:szCs w:val="2"/>
              </w:rPr>
            </w:pPr>
          </w:p>
        </w:tc>
      </w:tr>
      <w:tr w:rsidR="006C4236">
        <w:trPr>
          <w:trHeight w:val="302"/>
        </w:trPr>
        <w:tc>
          <w:tcPr>
            <w:tcW w:w="1272" w:type="dxa"/>
          </w:tcPr>
          <w:p w:rsidR="006C4236" w:rsidRDefault="00CE6C81">
            <w:pPr>
              <w:pStyle w:val="TableParagraph"/>
              <w:spacing w:before="63" w:line="218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MADIT-M086</w:t>
            </w:r>
          </w:p>
        </w:tc>
        <w:tc>
          <w:tcPr>
            <w:tcW w:w="7512" w:type="dxa"/>
            <w:vMerge w:val="restart"/>
          </w:tcPr>
          <w:p w:rsidR="006C4236" w:rsidRDefault="00CE6C81">
            <w:pPr>
              <w:pStyle w:val="TableParagraph"/>
              <w:spacing w:before="6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Linee guida relative alla valutazione degli impatti e alla limitazione del rumore sottomarino</w:t>
            </w:r>
          </w:p>
        </w:tc>
      </w:tr>
      <w:tr w:rsidR="006C4236">
        <w:trPr>
          <w:trHeight w:val="297"/>
        </w:trPr>
        <w:tc>
          <w:tcPr>
            <w:tcW w:w="1272" w:type="dxa"/>
          </w:tcPr>
          <w:p w:rsidR="006C4236" w:rsidRDefault="00CE6C81">
            <w:pPr>
              <w:pStyle w:val="TableParagraph"/>
              <w:spacing w:before="1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MICIT-M085</w:t>
            </w:r>
          </w:p>
        </w:tc>
        <w:tc>
          <w:tcPr>
            <w:tcW w:w="7512" w:type="dxa"/>
            <w:vMerge/>
            <w:tcBorders>
              <w:top w:val="nil"/>
            </w:tcBorders>
          </w:tcPr>
          <w:p w:rsidR="006C4236" w:rsidRDefault="006C4236">
            <w:pPr>
              <w:rPr>
                <w:sz w:val="2"/>
                <w:szCs w:val="2"/>
              </w:rPr>
            </w:pPr>
          </w:p>
        </w:tc>
      </w:tr>
      <w:tr w:rsidR="006C4236">
        <w:trPr>
          <w:trHeight w:val="302"/>
        </w:trPr>
        <w:tc>
          <w:tcPr>
            <w:tcW w:w="1272" w:type="dxa"/>
          </w:tcPr>
          <w:p w:rsidR="006C4236" w:rsidRDefault="00CE6C81">
            <w:pPr>
              <w:pStyle w:val="TableParagraph"/>
              <w:spacing w:before="1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MWEIT-M088</w:t>
            </w:r>
          </w:p>
        </w:tc>
        <w:tc>
          <w:tcPr>
            <w:tcW w:w="7512" w:type="dxa"/>
            <w:vMerge/>
            <w:tcBorders>
              <w:top w:val="nil"/>
            </w:tcBorders>
          </w:tcPr>
          <w:p w:rsidR="006C4236" w:rsidRDefault="006C4236">
            <w:pPr>
              <w:rPr>
                <w:sz w:val="2"/>
                <w:szCs w:val="2"/>
              </w:rPr>
            </w:pPr>
          </w:p>
        </w:tc>
      </w:tr>
    </w:tbl>
    <w:p w:rsidR="006C4236" w:rsidRDefault="006C4236">
      <w:pPr>
        <w:pStyle w:val="Corpodeltesto"/>
        <w:rPr>
          <w:b/>
          <w:sz w:val="20"/>
        </w:rPr>
      </w:pPr>
    </w:p>
    <w:p w:rsidR="006C4236" w:rsidRDefault="006C4236">
      <w:pPr>
        <w:pStyle w:val="Corpodeltesto"/>
        <w:spacing w:before="7"/>
        <w:rPr>
          <w:b/>
        </w:rPr>
      </w:pPr>
    </w:p>
    <w:p w:rsidR="006C4236" w:rsidRDefault="00CE6C81">
      <w:pPr>
        <w:spacing w:before="101" w:after="10" w:line="244" w:lineRule="auto"/>
        <w:ind w:left="1182" w:right="544" w:hanging="360"/>
        <w:rPr>
          <w:b/>
          <w:sz w:val="24"/>
        </w:rPr>
      </w:pPr>
      <w:r>
        <w:rPr>
          <w:b/>
          <w:color w:val="002060"/>
          <w:sz w:val="24"/>
        </w:rPr>
        <w:t>7. Programmi di monitoraggio- Rumore subacqueo suoni impulsivi e continui di origine antropica</w:t>
      </w:r>
    </w:p>
    <w:p w:rsidR="006C4236" w:rsidRDefault="006C4236">
      <w:pPr>
        <w:pStyle w:val="Corpodeltesto"/>
        <w:spacing w:line="20" w:lineRule="exact"/>
        <w:ind w:left="7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1.05pt;height:.5pt;mso-position-horizontal-relative:char;mso-position-vertical-relative:line" coordsize="9221,10">
            <v:line id="_x0000_s1027" style="position:absolute" from="0,5" to="9221,5" strokecolor="#0070c0" strokeweight=".48pt"/>
            <w10:wrap type="none"/>
            <w10:anchorlock/>
          </v:group>
        </w:pict>
      </w:r>
    </w:p>
    <w:p w:rsidR="006C4236" w:rsidRDefault="00CE6C81">
      <w:pPr>
        <w:spacing w:line="249" w:lineRule="auto"/>
        <w:ind w:left="462" w:right="4132"/>
      </w:pPr>
      <w:r>
        <w:rPr>
          <w:w w:val="105"/>
        </w:rPr>
        <w:t>MADIT_D11_01; MWEIT-D11_01;MICIT-D11_01 MADIT_D11_02; MWEIT-D11_02;MICIT-D11_02</w:t>
      </w:r>
    </w:p>
    <w:p w:rsidR="006C4236" w:rsidRDefault="00CE6C81">
      <w:pPr>
        <w:pStyle w:val="Corpodeltesto"/>
        <w:ind w:left="462" w:right="500"/>
        <w:jc w:val="both"/>
      </w:pPr>
      <w:r>
        <w:t>Allo stato attuale i programmi di monitoraggio sono in fase di progettazione avanzata e non sono ancora stati attivati. E’ stato invece svol</w:t>
      </w:r>
      <w:r>
        <w:t>to tutto il lavoro di progettazione e di</w:t>
      </w:r>
      <w:r>
        <w:rPr>
          <w:spacing w:val="6"/>
        </w:rPr>
        <w:t xml:space="preserve"> </w:t>
      </w:r>
      <w:r>
        <w:t>pianificazione operativa che li porterà a sistema già nel 2020 per quanto riguarda il criterio 11.1 e successivamente per quanto riguarda il criterio 11.2., in maniera graduale e condivisa a livello SNPA. Sono stati</w:t>
      </w:r>
      <w:r>
        <w:t xml:space="preserve"> inoltre elaborati protocolli di Intesa con enti pubblici di ricerca e FFAA  competenti che opereranno di supporto in mare, anche al fine di garantire adeguata copertura spaziale e l’ottimizzazione dei</w:t>
      </w:r>
      <w:r>
        <w:rPr>
          <w:spacing w:val="-1"/>
        </w:rPr>
        <w:t xml:space="preserve"> </w:t>
      </w:r>
      <w:r>
        <w:t>costi</w:t>
      </w:r>
    </w:p>
    <w:p w:rsidR="006C4236" w:rsidRDefault="00CE6C81">
      <w:pPr>
        <w:pStyle w:val="Corpodeltesto"/>
        <w:spacing w:line="292" w:lineRule="exact"/>
        <w:ind w:left="462"/>
        <w:jc w:val="both"/>
      </w:pPr>
      <w:r>
        <w:t>Sono state ideate tre fasi di implementazione:</w:t>
      </w:r>
    </w:p>
    <w:p w:rsidR="006C4236" w:rsidRDefault="00CE6C81">
      <w:pPr>
        <w:pStyle w:val="Paragrafoelenco"/>
        <w:numPr>
          <w:ilvl w:val="0"/>
          <w:numId w:val="1"/>
        </w:numPr>
        <w:tabs>
          <w:tab w:val="left" w:pos="767"/>
        </w:tabs>
        <w:ind w:right="500" w:firstLine="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>ormulazione di un piano di formazione rivolto alla ARPA in merito alla raccolta, analisi</w:t>
      </w:r>
      <w:r>
        <w:rPr>
          <w:spacing w:val="31"/>
          <w:sz w:val="24"/>
        </w:rPr>
        <w:t xml:space="preserve"> </w:t>
      </w:r>
      <w:r>
        <w:rPr>
          <w:sz w:val="24"/>
        </w:rPr>
        <w:t>e reporting di dati acustici secondo un metodo concordato uguale per tutte; tale formazione verrà erogata anche a soggetti diversi, per esempio Marina Militare e i com</w:t>
      </w:r>
      <w:r>
        <w:rPr>
          <w:sz w:val="24"/>
        </w:rPr>
        <w:t>petenti uffici del Ministero dello Sviluppo Economico, che partecipino alla raccolta ed elaborazione dati, in modo da uniformare la procedura a livelli nazionale e garantire la qualità del dato da riportare in</w:t>
      </w:r>
      <w:r>
        <w:rPr>
          <w:spacing w:val="-4"/>
          <w:sz w:val="24"/>
        </w:rPr>
        <w:t xml:space="preserve"> </w:t>
      </w:r>
      <w:r>
        <w:rPr>
          <w:sz w:val="24"/>
        </w:rPr>
        <w:t>EU.</w:t>
      </w:r>
    </w:p>
    <w:p w:rsidR="006C4236" w:rsidRDefault="00CE6C81">
      <w:pPr>
        <w:pStyle w:val="Paragrafoelenco"/>
        <w:numPr>
          <w:ilvl w:val="0"/>
          <w:numId w:val="1"/>
        </w:numPr>
        <w:tabs>
          <w:tab w:val="left" w:pos="714"/>
        </w:tabs>
        <w:spacing w:before="21"/>
        <w:ind w:left="713" w:hanging="252"/>
        <w:jc w:val="both"/>
        <w:rPr>
          <w:sz w:val="24"/>
        </w:rPr>
      </w:pPr>
      <w:r>
        <w:rPr>
          <w:sz w:val="24"/>
        </w:rPr>
        <w:t>Individuazione di siti idonei per effettuare i campionamenti e per portarli a</w:t>
      </w:r>
      <w:r>
        <w:rPr>
          <w:spacing w:val="-3"/>
          <w:sz w:val="24"/>
        </w:rPr>
        <w:t xml:space="preserve"> </w:t>
      </w:r>
      <w:r>
        <w:rPr>
          <w:sz w:val="24"/>
        </w:rPr>
        <w:t>sistema.</w:t>
      </w:r>
    </w:p>
    <w:p w:rsidR="006C4236" w:rsidRDefault="00CE6C81">
      <w:pPr>
        <w:pStyle w:val="Corpodeltesto"/>
        <w:ind w:left="462" w:right="500"/>
        <w:jc w:val="both"/>
      </w:pPr>
      <w:r>
        <w:t xml:space="preserve">Si prevede di realizzare un massimo di sue stazioni di monitoraggio per ogni sottoregione (Mediterraneo Occidentale, Mediterraneo Centrale e Ionio, Mare Adriatico), ove </w:t>
      </w:r>
      <w:r>
        <w:t xml:space="preserve">concordato nel 2020 con la eventuale partecipazione di altri stati membri. I soggetti esecutori dei programmi di monitoraggio sono le ARPA, inserite nel SNPA, supportate ove necessario da ISPRA e da idonei partner scientifici a livello locale. Le stazioni </w:t>
      </w:r>
      <w:r>
        <w:t xml:space="preserve">di monitoraggio sono scelte in base ai criteri dettati dalla guidance EU, e in particolare, varrà data precedenza al monitoraggio di </w:t>
      </w:r>
      <w:r>
        <w:rPr>
          <w:b/>
        </w:rPr>
        <w:t>categoria A</w:t>
      </w:r>
      <w:r>
        <w:t>, per stabilire le informazioni necessarie a validare le previsioni di impatto acustico. Dato che il suono subac</w:t>
      </w:r>
      <w:r>
        <w:t>queo viaggia a lunghe distanze, e che le bande sonore determinate dalla MSFD (bande in terzi di ottava centrate rispettivamente a 63Hz e 125Hz) sono dominate dal traffico navale, riteniamo opportuno misurare prioritariamente siti che si trovino distanti da</w:t>
      </w:r>
      <w:r>
        <w:t>lla rotte navali prevalenti in modo da poter monitorare la diversità di suoni ambientali in maniera equilibrata. Questa strategia è idonea al monitoraggio a livello regionale, abbiamo pertanto preso contatti con Francia, Malta e Slovenia al</w:t>
      </w:r>
      <w:r>
        <w:rPr>
          <w:spacing w:val="-2"/>
        </w:rPr>
        <w:t xml:space="preserve"> </w:t>
      </w:r>
      <w:r>
        <w:t>riguardo.</w:t>
      </w:r>
    </w:p>
    <w:p w:rsidR="006C4236" w:rsidRDefault="00CE6C81">
      <w:pPr>
        <w:spacing w:line="242" w:lineRule="auto"/>
        <w:ind w:left="462" w:right="501"/>
        <w:jc w:val="both"/>
      </w:pPr>
      <w:r>
        <w:rPr>
          <w:sz w:val="24"/>
        </w:rPr>
        <w:t>Al fi</w:t>
      </w:r>
      <w:r>
        <w:rPr>
          <w:sz w:val="24"/>
        </w:rPr>
        <w:t>ne di validare i dati raccolti con il monitoraggio in categoria A, si ritiene che, una volta cominciati ad arrivare i risultati dei primi monitoraggi A, sarà opportuno valutare se incrementare la copertura spaziale di questo tipo di monitoraggio o se in ag</w:t>
      </w:r>
      <w:r>
        <w:rPr>
          <w:sz w:val="24"/>
        </w:rPr>
        <w:t xml:space="preserve">giunta attivare il </w:t>
      </w:r>
      <w:r>
        <w:t xml:space="preserve">monitoraggio di </w:t>
      </w:r>
      <w:r>
        <w:rPr>
          <w:b/>
        </w:rPr>
        <w:t>categoria B</w:t>
      </w:r>
      <w:r>
        <w:t>, che invece avviene in prossimità delle rotte navali per apprezzare con l’ausilio di sistemi di</w:t>
      </w:r>
    </w:p>
    <w:p w:rsidR="006C4236" w:rsidRDefault="006C4236">
      <w:pPr>
        <w:spacing w:line="242" w:lineRule="auto"/>
        <w:jc w:val="both"/>
        <w:sectPr w:rsidR="006C4236">
          <w:pgSz w:w="11910" w:h="16840"/>
          <w:pgMar w:top="1340" w:right="620" w:bottom="1000" w:left="680" w:header="0" w:footer="810" w:gutter="0"/>
          <w:cols w:space="720"/>
        </w:sectPr>
      </w:pPr>
    </w:p>
    <w:p w:rsidR="006C4236" w:rsidRDefault="00CE6C81">
      <w:pPr>
        <w:spacing w:before="76" w:line="252" w:lineRule="auto"/>
        <w:ind w:left="462" w:right="500"/>
        <w:jc w:val="both"/>
      </w:pPr>
      <w:r>
        <w:rPr>
          <w:w w:val="105"/>
        </w:rPr>
        <w:lastRenderedPageBreak/>
        <w:t>identificazione del traffico, vedi AIS o VTS, le singole sorgenti e poter di conseguenza valida</w:t>
      </w:r>
      <w:r>
        <w:rPr>
          <w:w w:val="105"/>
        </w:rPr>
        <w:t xml:space="preserve">re i modelli di trasmissione sonora utilizzati per calcolare i livelli estrapolati dalle misure in categoria A. La procedura di scelta dei siti è stata già elaborata da ISPRA (Borsani </w:t>
      </w:r>
      <w:r>
        <w:rPr>
          <w:i/>
          <w:w w:val="105"/>
        </w:rPr>
        <w:t xml:space="preserve">et al., </w:t>
      </w:r>
      <w:r>
        <w:rPr>
          <w:w w:val="105"/>
        </w:rPr>
        <w:t>2015) e verrà aggiornata nel 2020 con la pubblicazione delle Lin</w:t>
      </w:r>
      <w:r>
        <w:rPr>
          <w:w w:val="105"/>
        </w:rPr>
        <w:t>ee guida elaborate dal Technical Group della CE denominato ‘TGNoise’ e dal progetto UE QueitMed2, a cui ISPRA partecipa attivamente come advisory board.</w:t>
      </w:r>
    </w:p>
    <w:p w:rsidR="006C4236" w:rsidRDefault="00CE6C81">
      <w:pPr>
        <w:pStyle w:val="Paragrafoelenco"/>
        <w:numPr>
          <w:ilvl w:val="0"/>
          <w:numId w:val="1"/>
        </w:numPr>
        <w:tabs>
          <w:tab w:val="left" w:pos="703"/>
        </w:tabs>
        <w:spacing w:line="249" w:lineRule="auto"/>
        <w:ind w:right="836" w:firstLine="0"/>
        <w:jc w:val="both"/>
      </w:pPr>
      <w:r>
        <w:rPr>
          <w:w w:val="105"/>
        </w:rPr>
        <w:t>Individuazione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strumenti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registrazione,</w:t>
      </w:r>
      <w:r>
        <w:rPr>
          <w:spacing w:val="-6"/>
          <w:w w:val="105"/>
        </w:rPr>
        <w:t xml:space="preserve"> </w:t>
      </w:r>
      <w:r>
        <w:rPr>
          <w:w w:val="105"/>
        </w:rPr>
        <w:t>strumenti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procedure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analisi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repository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dati adeguati alle necessità e specifiche come descritto nelle guidance</w:t>
      </w:r>
      <w:r>
        <w:rPr>
          <w:spacing w:val="3"/>
          <w:w w:val="105"/>
        </w:rPr>
        <w:t xml:space="preserve"> </w:t>
      </w:r>
      <w:r>
        <w:rPr>
          <w:w w:val="105"/>
        </w:rPr>
        <w:t>EU.</w:t>
      </w:r>
    </w:p>
    <w:p w:rsidR="006C4236" w:rsidRDefault="006C4236">
      <w:pPr>
        <w:pStyle w:val="Corpodeltesto"/>
        <w:spacing w:before="9"/>
        <w:rPr>
          <w:sz w:val="22"/>
        </w:rPr>
      </w:pPr>
    </w:p>
    <w:p w:rsidR="006C4236" w:rsidRDefault="00CE6C81">
      <w:pPr>
        <w:spacing w:line="252" w:lineRule="auto"/>
        <w:ind w:left="462" w:right="502"/>
        <w:jc w:val="both"/>
      </w:pPr>
      <w:r>
        <w:rPr>
          <w:w w:val="105"/>
        </w:rPr>
        <w:t xml:space="preserve">Le tre fasi beneficeranno direttamente del lavoro che ISPRA svolge all’interno del TGNoise nella elaborazione delle procedure (framework) di determinazione dei valori soglia, per </w:t>
      </w:r>
      <w:r>
        <w:rPr>
          <w:w w:val="105"/>
        </w:rPr>
        <w:t xml:space="preserve">le quali è previsto che venga pubblicata la </w:t>
      </w:r>
      <w:r>
        <w:rPr>
          <w:i/>
          <w:w w:val="105"/>
        </w:rPr>
        <w:t xml:space="preserve">guidance </w:t>
      </w:r>
      <w:r>
        <w:rPr>
          <w:w w:val="105"/>
        </w:rPr>
        <w:t>ufficiale entro l’inizio del 2021.</w:t>
      </w:r>
    </w:p>
    <w:sectPr w:rsidR="006C4236" w:rsidSect="006C4236">
      <w:pgSz w:w="11910" w:h="16840"/>
      <w:pgMar w:top="1340" w:right="620" w:bottom="1000" w:left="680" w:header="0" w:footer="8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81" w:rsidRDefault="00CE6C81" w:rsidP="006C4236">
      <w:r>
        <w:separator/>
      </w:r>
    </w:p>
  </w:endnote>
  <w:endnote w:type="continuationSeparator" w:id="0">
    <w:p w:rsidR="00CE6C81" w:rsidRDefault="00CE6C81" w:rsidP="006C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36" w:rsidRDefault="006C4236">
    <w:pPr>
      <w:pStyle w:val="Corpodeltesto"/>
      <w:spacing w:line="14" w:lineRule="auto"/>
      <w:rPr>
        <w:sz w:val="20"/>
      </w:rPr>
    </w:pPr>
    <w:r w:rsidRPr="006C4236">
      <w:pict>
        <v:shape id="_x0000_s2050" style="position:absolute;margin-left:2270pt;margin-top:-2628.7pt;width:173pt;height:173.5pt;z-index:-251934720;mso-position-horizontal-relative:page;mso-position-vertical-relative:page" coordorigin="45400,-52574" coordsize="3460,3470" o:spt="100" adj="0,,0" path="m11736,16489r-32,52l11659,16593r-51,45l11559,16668t-424,l11086,16638r-51,-45l10991,16541r-36,-58l10928,16420r-17,-69l10906,16279r5,-72l10928,16139r27,-64l10991,16017r44,-52l11086,15921r58,-36l11208,15858r68,-17l11347,15835r72,6l11487,15858r63,27l11608,15921r51,44l11704,16017r32,52e" filled="f" strokecolor="#a7bfde" strokeweight=".96pt">
          <v:stroke joinstyle="round"/>
          <v:formulas/>
          <v:path arrowok="t" o:connecttype="segments"/>
          <w10:wrap anchorx="page" anchory="page"/>
        </v:shape>
      </w:pict>
    </w:r>
    <w:r w:rsidRPr="006C42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3pt;margin-top:807.9pt;width:10pt;height:14pt;z-index:-251933696;mso-position-horizontal-relative:page;mso-position-vertical-relative:page" filled="f" stroked="f">
          <v:textbox inset="0,0,0,0">
            <w:txbxContent>
              <w:p w:rsidR="006C4236" w:rsidRDefault="006C4236">
                <w:pPr>
                  <w:pStyle w:val="Corpodeltesto"/>
                  <w:spacing w:line="252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E6C81">
                  <w:rPr>
                    <w:rFonts w:ascii="Times New Roman"/>
                    <w:color w:val="4F81BD"/>
                  </w:rPr>
                  <w:instrText xml:space="preserve"> PAGE </w:instrText>
                </w:r>
                <w:r>
                  <w:fldChar w:fldCharType="separate"/>
                </w:r>
                <w:r w:rsidR="008A43DD">
                  <w:rPr>
                    <w:rFonts w:ascii="Times New Roman"/>
                    <w:noProof/>
                    <w:color w:val="4F81BD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81" w:rsidRDefault="00CE6C81" w:rsidP="006C4236">
      <w:r>
        <w:separator/>
      </w:r>
    </w:p>
  </w:footnote>
  <w:footnote w:type="continuationSeparator" w:id="0">
    <w:p w:rsidR="00CE6C81" w:rsidRDefault="00CE6C81" w:rsidP="006C4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9AF"/>
    <w:multiLevelType w:val="hybridMultilevel"/>
    <w:tmpl w:val="F368A34A"/>
    <w:lvl w:ilvl="0" w:tplc="E0E08F24">
      <w:start w:val="1"/>
      <w:numFmt w:val="decimal"/>
      <w:lvlText w:val="%1)"/>
      <w:lvlJc w:val="left"/>
      <w:pPr>
        <w:ind w:left="462" w:hanging="304"/>
        <w:jc w:val="left"/>
      </w:pPr>
      <w:rPr>
        <w:rFonts w:hint="default"/>
        <w:b/>
        <w:bCs/>
        <w:spacing w:val="-24"/>
        <w:w w:val="100"/>
        <w:lang w:val="it-IT" w:eastAsia="it-IT" w:bidi="it-IT"/>
      </w:rPr>
    </w:lvl>
    <w:lvl w:ilvl="1" w:tplc="E9F84D70">
      <w:numFmt w:val="bullet"/>
      <w:lvlText w:val="•"/>
      <w:lvlJc w:val="left"/>
      <w:pPr>
        <w:ind w:left="1474" w:hanging="304"/>
      </w:pPr>
      <w:rPr>
        <w:rFonts w:hint="default"/>
        <w:lang w:val="it-IT" w:eastAsia="it-IT" w:bidi="it-IT"/>
      </w:rPr>
    </w:lvl>
    <w:lvl w:ilvl="2" w:tplc="32C2C982">
      <w:numFmt w:val="bullet"/>
      <w:lvlText w:val="•"/>
      <w:lvlJc w:val="left"/>
      <w:pPr>
        <w:ind w:left="2488" w:hanging="304"/>
      </w:pPr>
      <w:rPr>
        <w:rFonts w:hint="default"/>
        <w:lang w:val="it-IT" w:eastAsia="it-IT" w:bidi="it-IT"/>
      </w:rPr>
    </w:lvl>
    <w:lvl w:ilvl="3" w:tplc="F71EED12">
      <w:numFmt w:val="bullet"/>
      <w:lvlText w:val="•"/>
      <w:lvlJc w:val="left"/>
      <w:pPr>
        <w:ind w:left="3503" w:hanging="304"/>
      </w:pPr>
      <w:rPr>
        <w:rFonts w:hint="default"/>
        <w:lang w:val="it-IT" w:eastAsia="it-IT" w:bidi="it-IT"/>
      </w:rPr>
    </w:lvl>
    <w:lvl w:ilvl="4" w:tplc="911A2C66">
      <w:numFmt w:val="bullet"/>
      <w:lvlText w:val="•"/>
      <w:lvlJc w:val="left"/>
      <w:pPr>
        <w:ind w:left="4517" w:hanging="304"/>
      </w:pPr>
      <w:rPr>
        <w:rFonts w:hint="default"/>
        <w:lang w:val="it-IT" w:eastAsia="it-IT" w:bidi="it-IT"/>
      </w:rPr>
    </w:lvl>
    <w:lvl w:ilvl="5" w:tplc="9AFC3494">
      <w:numFmt w:val="bullet"/>
      <w:lvlText w:val="•"/>
      <w:lvlJc w:val="left"/>
      <w:pPr>
        <w:ind w:left="5532" w:hanging="304"/>
      </w:pPr>
      <w:rPr>
        <w:rFonts w:hint="default"/>
        <w:lang w:val="it-IT" w:eastAsia="it-IT" w:bidi="it-IT"/>
      </w:rPr>
    </w:lvl>
    <w:lvl w:ilvl="6" w:tplc="8C528E44">
      <w:numFmt w:val="bullet"/>
      <w:lvlText w:val="•"/>
      <w:lvlJc w:val="left"/>
      <w:pPr>
        <w:ind w:left="6546" w:hanging="304"/>
      </w:pPr>
      <w:rPr>
        <w:rFonts w:hint="default"/>
        <w:lang w:val="it-IT" w:eastAsia="it-IT" w:bidi="it-IT"/>
      </w:rPr>
    </w:lvl>
    <w:lvl w:ilvl="7" w:tplc="3140D138">
      <w:numFmt w:val="bullet"/>
      <w:lvlText w:val="•"/>
      <w:lvlJc w:val="left"/>
      <w:pPr>
        <w:ind w:left="7560" w:hanging="304"/>
      </w:pPr>
      <w:rPr>
        <w:rFonts w:hint="default"/>
        <w:lang w:val="it-IT" w:eastAsia="it-IT" w:bidi="it-IT"/>
      </w:rPr>
    </w:lvl>
    <w:lvl w:ilvl="8" w:tplc="CC4067EC">
      <w:numFmt w:val="bullet"/>
      <w:lvlText w:val="•"/>
      <w:lvlJc w:val="left"/>
      <w:pPr>
        <w:ind w:left="8575" w:hanging="304"/>
      </w:pPr>
      <w:rPr>
        <w:rFonts w:hint="default"/>
        <w:lang w:val="it-IT" w:eastAsia="it-IT" w:bidi="it-IT"/>
      </w:rPr>
    </w:lvl>
  </w:abstractNum>
  <w:abstractNum w:abstractNumId="1">
    <w:nsid w:val="1E194ECC"/>
    <w:multiLevelType w:val="hybridMultilevel"/>
    <w:tmpl w:val="81E499BA"/>
    <w:lvl w:ilvl="0" w:tplc="EC40E4D6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b/>
        <w:bCs/>
        <w:color w:val="002060"/>
        <w:spacing w:val="-1"/>
        <w:w w:val="100"/>
        <w:sz w:val="24"/>
        <w:szCs w:val="24"/>
        <w:lang w:val="it-IT" w:eastAsia="it-IT" w:bidi="it-IT"/>
      </w:rPr>
    </w:lvl>
    <w:lvl w:ilvl="1" w:tplc="9C588A4C">
      <w:numFmt w:val="bullet"/>
      <w:lvlText w:val=""/>
      <w:lvlJc w:val="left"/>
      <w:pPr>
        <w:ind w:left="129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2DD49D48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677EACD2">
      <w:numFmt w:val="bullet"/>
      <w:lvlText w:val="•"/>
      <w:lvlJc w:val="left"/>
      <w:pPr>
        <w:ind w:left="3367" w:hanging="360"/>
      </w:pPr>
      <w:rPr>
        <w:rFonts w:hint="default"/>
        <w:lang w:val="it-IT" w:eastAsia="it-IT" w:bidi="it-IT"/>
      </w:rPr>
    </w:lvl>
    <w:lvl w:ilvl="4" w:tplc="911689E8">
      <w:numFmt w:val="bullet"/>
      <w:lvlText w:val="•"/>
      <w:lvlJc w:val="left"/>
      <w:pPr>
        <w:ind w:left="4401" w:hanging="360"/>
      </w:pPr>
      <w:rPr>
        <w:rFonts w:hint="default"/>
        <w:lang w:val="it-IT" w:eastAsia="it-IT" w:bidi="it-IT"/>
      </w:rPr>
    </w:lvl>
    <w:lvl w:ilvl="5" w:tplc="F7E0121E">
      <w:numFmt w:val="bullet"/>
      <w:lvlText w:val="•"/>
      <w:lvlJc w:val="left"/>
      <w:pPr>
        <w:ind w:left="5435" w:hanging="360"/>
      </w:pPr>
      <w:rPr>
        <w:rFonts w:hint="default"/>
        <w:lang w:val="it-IT" w:eastAsia="it-IT" w:bidi="it-IT"/>
      </w:rPr>
    </w:lvl>
    <w:lvl w:ilvl="6" w:tplc="7F020784">
      <w:numFmt w:val="bullet"/>
      <w:lvlText w:val="•"/>
      <w:lvlJc w:val="left"/>
      <w:pPr>
        <w:ind w:left="6468" w:hanging="360"/>
      </w:pPr>
      <w:rPr>
        <w:rFonts w:hint="default"/>
        <w:lang w:val="it-IT" w:eastAsia="it-IT" w:bidi="it-IT"/>
      </w:rPr>
    </w:lvl>
    <w:lvl w:ilvl="7" w:tplc="8FA06F86">
      <w:numFmt w:val="bullet"/>
      <w:lvlText w:val="•"/>
      <w:lvlJc w:val="left"/>
      <w:pPr>
        <w:ind w:left="7502" w:hanging="360"/>
      </w:pPr>
      <w:rPr>
        <w:rFonts w:hint="default"/>
        <w:lang w:val="it-IT" w:eastAsia="it-IT" w:bidi="it-IT"/>
      </w:rPr>
    </w:lvl>
    <w:lvl w:ilvl="8" w:tplc="DDCA22AA">
      <w:numFmt w:val="bullet"/>
      <w:lvlText w:val="•"/>
      <w:lvlJc w:val="left"/>
      <w:pPr>
        <w:ind w:left="853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4236"/>
    <w:rsid w:val="006C4236"/>
    <w:rsid w:val="008A43DD"/>
    <w:rsid w:val="00C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423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423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C4236"/>
    <w:pPr>
      <w:ind w:left="893" w:right="932"/>
      <w:jc w:val="center"/>
      <w:outlineLvl w:val="1"/>
    </w:pPr>
    <w:rPr>
      <w:b/>
      <w:bCs/>
      <w:sz w:val="43"/>
      <w:szCs w:val="43"/>
    </w:rPr>
  </w:style>
  <w:style w:type="paragraph" w:customStyle="1" w:styleId="Heading2">
    <w:name w:val="Heading 2"/>
    <w:basedOn w:val="Normale"/>
    <w:uiPriority w:val="1"/>
    <w:qFormat/>
    <w:rsid w:val="006C4236"/>
    <w:pPr>
      <w:ind w:left="1182" w:hanging="361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4236"/>
    <w:pPr>
      <w:ind w:left="118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C4236"/>
    <w:pPr>
      <w:spacing w:before="2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3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3DD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8246</Characters>
  <Application>Microsoft Office Word</Application>
  <DocSecurity>0</DocSecurity>
  <Lines>68</Lines>
  <Paragraphs>19</Paragraphs>
  <ScaleCrop>false</ScaleCrop>
  <Company>HP Inc.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Silvestri</dc:creator>
  <cp:lastModifiedBy>Ceciali Silvestri</cp:lastModifiedBy>
  <cp:revision>2</cp:revision>
  <dcterms:created xsi:type="dcterms:W3CDTF">2020-10-01T10:10:00Z</dcterms:created>
  <dcterms:modified xsi:type="dcterms:W3CDTF">2020-10-01T10:10:00Z</dcterms:modified>
</cp:coreProperties>
</file>