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67" w:rsidRDefault="00B601B9">
      <w:pPr>
        <w:tabs>
          <w:tab w:val="left" w:pos="839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96429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29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360360" cy="8465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60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rPr>
          <w:rFonts w:ascii="Times New Roman"/>
          <w:sz w:val="20"/>
        </w:rPr>
      </w:pPr>
    </w:p>
    <w:p w:rsidR="00A74567" w:rsidRDefault="00A74567">
      <w:pPr>
        <w:pStyle w:val="Corpodeltesto"/>
        <w:spacing w:before="3"/>
        <w:rPr>
          <w:rFonts w:ascii="Times New Roman"/>
          <w:sz w:val="18"/>
        </w:rPr>
      </w:pPr>
    </w:p>
    <w:p w:rsidR="00A74567" w:rsidRDefault="00B601B9">
      <w:pPr>
        <w:pStyle w:val="Heading1"/>
        <w:spacing w:before="11"/>
        <w:ind w:right="879"/>
      </w:pPr>
      <w:r>
        <w:rPr>
          <w:color w:val="4F82BD"/>
        </w:rPr>
        <w:t>Report Nazionale sui Programmi di</w:t>
      </w:r>
      <w:r>
        <w:rPr>
          <w:color w:val="4F82BD"/>
          <w:spacing w:val="-51"/>
        </w:rPr>
        <w:t xml:space="preserve"> </w:t>
      </w:r>
      <w:r>
        <w:rPr>
          <w:color w:val="4F82BD"/>
        </w:rPr>
        <w:t xml:space="preserve">Monitoraggio per la </w:t>
      </w:r>
      <w:r>
        <w:rPr>
          <w:color w:val="4F82BD"/>
          <w:spacing w:val="-3"/>
        </w:rPr>
        <w:t xml:space="preserve">Direttiva </w:t>
      </w:r>
      <w:r>
        <w:rPr>
          <w:color w:val="4F82BD"/>
        </w:rPr>
        <w:t xml:space="preserve">sulla </w:t>
      </w:r>
      <w:r>
        <w:rPr>
          <w:color w:val="4F82BD"/>
          <w:spacing w:val="-3"/>
        </w:rPr>
        <w:t xml:space="preserve">Strategia </w:t>
      </w:r>
      <w:r>
        <w:rPr>
          <w:color w:val="4F82BD"/>
        </w:rPr>
        <w:t>Marina</w:t>
      </w:r>
    </w:p>
    <w:p w:rsidR="00A74567" w:rsidRDefault="00B601B9">
      <w:pPr>
        <w:spacing w:before="1"/>
        <w:ind w:left="835" w:right="877"/>
        <w:jc w:val="center"/>
        <w:rPr>
          <w:b/>
          <w:sz w:val="44"/>
        </w:rPr>
      </w:pPr>
      <w:r>
        <w:rPr>
          <w:b/>
          <w:color w:val="4F82BD"/>
          <w:sz w:val="44"/>
        </w:rPr>
        <w:t>Art. 11, Dir. 2008/56/CE</w: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4"/>
        <w:rPr>
          <w:b/>
          <w:sz w:val="15"/>
        </w:rPr>
      </w:pPr>
      <w:r w:rsidRPr="00A74567">
        <w:pict>
          <v:group id="_x0000_s1067" style="position:absolute;margin-left:143pt;margin-top:11.35pt;width:301.85pt;height:164.65pt;z-index:-15727616;mso-wrap-distance-left:0;mso-wrap-distance-right:0;mso-position-horizontal-relative:page" coordorigin="2860,227" coordsize="6037,3293">
            <v:shape id="_x0000_s1070" style="position:absolute;left:2870;top:236;width:6017;height:3273" coordorigin="2870,237" coordsize="6017,3273" path="m3279,237r-73,6l3136,262r-63,31l3016,333r-50,49l2926,440r-30,63l2877,572r-7,74l2870,3101r7,73l2896,3243r30,64l2966,3364r50,50l3073,3454r63,30l3206,3503r73,7l8478,3510r73,-7l8621,3484r63,-30l8741,3414r50,-50l8831,3307r30,-64l8880,3174r7,-73l8887,646r-7,-74l8861,503r-30,-63l8791,382r-50,-49l8684,293r-63,-31l8551,243r-73,-6l3279,237xe" filled="f" strokecolor="#001f5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4916;top:507;width:1946;height:360" filled="f" stroked="f">
              <v:textbox inset="0,0,0,0">
                <w:txbxContent>
                  <w:p w:rsidR="00A74567" w:rsidRDefault="00B601B9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Descrittore 2</w:t>
                    </w:r>
                  </w:p>
                </w:txbxContent>
              </v:textbox>
            </v:shape>
            <v:shape id="_x0000_s1068" type="#_x0000_t202" style="position:absolute;left:3137;top:1585;width:5362;height:1680" filled="f" stroked="f">
              <v:textbox inset="0,0,0,0">
                <w:txbxContent>
                  <w:p w:rsidR="00A74567" w:rsidRDefault="00B601B9">
                    <w:pPr>
                      <w:spacing w:line="367" w:lineRule="exact"/>
                      <w:jc w:val="both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Le specie non indigene introdotte</w:t>
                    </w:r>
                  </w:p>
                  <w:p w:rsidR="00A74567" w:rsidRDefault="00B601B9">
                    <w:pPr>
                      <w:ind w:right="18"/>
                      <w:jc w:val="both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 xml:space="preserve">dalle attività umane </w:t>
                    </w:r>
                    <w:r>
                      <w:rPr>
                        <w:b/>
                        <w:color w:val="17365D"/>
                        <w:spacing w:val="-3"/>
                        <w:sz w:val="36"/>
                      </w:rPr>
                      <w:t xml:space="preserve">restano </w:t>
                    </w:r>
                    <w:r>
                      <w:rPr>
                        <w:b/>
                        <w:color w:val="17365D"/>
                        <w:sz w:val="36"/>
                      </w:rPr>
                      <w:t xml:space="preserve">a livelli che non </w:t>
                    </w:r>
                    <w:r>
                      <w:rPr>
                        <w:b/>
                        <w:color w:val="17365D"/>
                        <w:spacing w:val="-3"/>
                        <w:sz w:val="36"/>
                      </w:rPr>
                      <w:t xml:space="preserve">alterano negativamente </w:t>
                    </w:r>
                    <w:r>
                      <w:rPr>
                        <w:b/>
                        <w:color w:val="17365D"/>
                        <w:sz w:val="36"/>
                      </w:rPr>
                      <w:t>gli ecosistemi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4567" w:rsidRDefault="00A74567">
      <w:pPr>
        <w:pStyle w:val="Corpodeltesto"/>
        <w:spacing w:before="7"/>
        <w:rPr>
          <w:b/>
          <w:sz w:val="43"/>
        </w:rPr>
      </w:pPr>
    </w:p>
    <w:p w:rsidR="00A74567" w:rsidRDefault="00B601B9">
      <w:pPr>
        <w:ind w:left="814" w:right="879"/>
        <w:jc w:val="center"/>
        <w:rPr>
          <w:b/>
          <w:i/>
          <w:sz w:val="36"/>
        </w:rPr>
      </w:pPr>
      <w:r>
        <w:rPr>
          <w:b/>
          <w:i/>
          <w:color w:val="1F487C"/>
          <w:sz w:val="36"/>
        </w:rPr>
        <w:t>Giugno 2020</w:t>
      </w:r>
    </w:p>
    <w:p w:rsidR="00A74567" w:rsidRDefault="00A74567">
      <w:pPr>
        <w:pStyle w:val="Corpodeltesto"/>
        <w:rPr>
          <w:b/>
          <w:i/>
          <w:sz w:val="20"/>
        </w:rPr>
      </w:pPr>
    </w:p>
    <w:p w:rsidR="00A74567" w:rsidRDefault="00A74567">
      <w:pPr>
        <w:pStyle w:val="Corpodeltesto"/>
        <w:rPr>
          <w:b/>
          <w:i/>
          <w:sz w:val="20"/>
        </w:rPr>
      </w:pPr>
    </w:p>
    <w:p w:rsidR="00A74567" w:rsidRDefault="00B601B9">
      <w:pPr>
        <w:pStyle w:val="Corpodeltesto"/>
        <w:spacing w:before="8"/>
        <w:rPr>
          <w:b/>
          <w:i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200636</wp:posOffset>
            </wp:positionV>
            <wp:extent cx="6018251" cy="16430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51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567" w:rsidRDefault="00A74567">
      <w:pPr>
        <w:sectPr w:rsidR="00A74567">
          <w:type w:val="continuous"/>
          <w:pgSz w:w="11910" w:h="16840"/>
          <w:pgMar w:top="1540" w:right="620" w:bottom="280" w:left="660" w:header="720" w:footer="720" w:gutter="0"/>
          <w:cols w:space="720"/>
        </w:sectPr>
      </w:pPr>
    </w:p>
    <w:p w:rsidR="00A74567" w:rsidRDefault="00B601B9">
      <w:pPr>
        <w:spacing w:before="76"/>
        <w:ind w:left="793" w:right="879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lastRenderedPageBreak/>
        <w:t>INDICE</w:t>
      </w:r>
    </w:p>
    <w:p w:rsidR="00A74567" w:rsidRDefault="00A74567">
      <w:pPr>
        <w:pStyle w:val="Corpodeltesto"/>
        <w:rPr>
          <w:rFonts w:ascii="Cambria"/>
          <w:b/>
          <w:sz w:val="32"/>
        </w:rPr>
      </w:pPr>
    </w:p>
    <w:p w:rsidR="00A74567" w:rsidRDefault="00B601B9">
      <w:pPr>
        <w:pStyle w:val="Heading2"/>
        <w:spacing w:before="255"/>
        <w:ind w:left="472" w:firstLine="0"/>
      </w:pPr>
      <w:r>
        <w:rPr>
          <w:color w:val="4F81BC"/>
        </w:rPr>
        <w:t>STRATEGIA DI MONITORAGGIO. DESCRITTORE 2 – SPECIE NON INDIGENE</w:t>
      </w:r>
    </w:p>
    <w:sdt>
      <w:sdtPr>
        <w:id w:val="527273376"/>
        <w:docPartObj>
          <w:docPartGallery w:val="Table of Contents"/>
          <w:docPartUnique/>
        </w:docPartObj>
      </w:sdtPr>
      <w:sdtContent>
        <w:p w:rsidR="00A74567" w:rsidRDefault="00A74567">
          <w:pPr>
            <w:pStyle w:val="TOC2"/>
            <w:numPr>
              <w:ilvl w:val="0"/>
              <w:numId w:val="6"/>
            </w:numPr>
            <w:tabs>
              <w:tab w:val="left" w:pos="858"/>
              <w:tab w:val="left" w:leader="dot" w:pos="9819"/>
            </w:tabs>
            <w:spacing w:before="120"/>
            <w:ind w:hanging="244"/>
            <w:rPr>
              <w:b w:val="0"/>
            </w:rPr>
          </w:pPr>
          <w:hyperlink w:anchor="_TOC_250004" w:history="1">
            <w:r w:rsidR="00B601B9">
              <w:t xml:space="preserve">Descrizione della </w:t>
            </w:r>
            <w:r w:rsidR="00B601B9">
              <w:rPr>
                <w:spacing w:val="-3"/>
              </w:rPr>
              <w:t>strategia</w:t>
            </w:r>
            <w:r w:rsidR="00B601B9">
              <w:rPr>
                <w:spacing w:val="-8"/>
              </w:rPr>
              <w:t xml:space="preserve"> </w:t>
            </w:r>
            <w:r w:rsidR="00B601B9">
              <w:t>di monitoraggio</w:t>
            </w:r>
            <w:r w:rsidR="00B601B9">
              <w:tab/>
            </w:r>
            <w:r w:rsidR="00B601B9">
              <w:rPr>
                <w:b w:val="0"/>
              </w:rPr>
              <w:t>3</w:t>
            </w:r>
          </w:hyperlink>
        </w:p>
        <w:p w:rsidR="00A74567" w:rsidRDefault="00A74567">
          <w:pPr>
            <w:pStyle w:val="TOC2"/>
            <w:numPr>
              <w:ilvl w:val="0"/>
              <w:numId w:val="6"/>
            </w:numPr>
            <w:tabs>
              <w:tab w:val="left" w:pos="1281"/>
              <w:tab w:val="left" w:pos="1283"/>
              <w:tab w:val="left" w:leader="dot" w:pos="9830"/>
            </w:tabs>
            <w:spacing w:before="166" w:line="276" w:lineRule="auto"/>
            <w:ind w:left="614" w:right="649" w:firstLine="0"/>
            <w:rPr>
              <w:b w:val="0"/>
            </w:rPr>
          </w:pPr>
          <w:hyperlink w:anchor="_TOC_250003" w:history="1">
            <w:r w:rsidR="00B601B9">
              <w:rPr>
                <w:spacing w:val="-3"/>
              </w:rPr>
              <w:t xml:space="preserve">Tempistiche     </w:t>
            </w:r>
            <w:r w:rsidR="00B601B9">
              <w:t>per     complet</w:t>
            </w:r>
            <w:r w:rsidR="00B601B9">
              <w:t>are     la     copertura     della      strategia      di monitoraggio</w:t>
            </w:r>
            <w:r w:rsidR="00B601B9">
              <w:tab/>
            </w:r>
            <w:r w:rsidR="00B601B9">
              <w:rPr>
                <w:b w:val="0"/>
              </w:rPr>
              <w:t>4</w:t>
            </w:r>
          </w:hyperlink>
        </w:p>
        <w:p w:rsidR="00A74567" w:rsidRDefault="00A74567">
          <w:pPr>
            <w:pStyle w:val="TOC2"/>
            <w:numPr>
              <w:ilvl w:val="0"/>
              <w:numId w:val="6"/>
            </w:numPr>
            <w:tabs>
              <w:tab w:val="left" w:pos="858"/>
              <w:tab w:val="left" w:leader="dot" w:pos="9813"/>
            </w:tabs>
            <w:spacing w:before="118"/>
            <w:ind w:hanging="244"/>
            <w:rPr>
              <w:b w:val="0"/>
            </w:rPr>
          </w:pPr>
          <w:hyperlink w:anchor="_TOC_250002" w:history="1">
            <w:r w:rsidR="00B601B9">
              <w:t>Criteri</w:t>
            </w:r>
            <w:r w:rsidR="00B601B9">
              <w:rPr>
                <w:spacing w:val="-6"/>
              </w:rPr>
              <w:t xml:space="preserve"> </w:t>
            </w:r>
            <w:r w:rsidR="00B601B9">
              <w:t>correlati</w:t>
            </w:r>
            <w:r w:rsidR="00B601B9">
              <w:tab/>
            </w:r>
            <w:r w:rsidR="00B601B9">
              <w:rPr>
                <w:b w:val="0"/>
              </w:rPr>
              <w:t>4</w:t>
            </w:r>
          </w:hyperlink>
        </w:p>
        <w:p w:rsidR="00A74567" w:rsidRDefault="00B601B9">
          <w:pPr>
            <w:pStyle w:val="TOC2"/>
            <w:numPr>
              <w:ilvl w:val="0"/>
              <w:numId w:val="6"/>
            </w:numPr>
            <w:tabs>
              <w:tab w:val="left" w:pos="858"/>
              <w:tab w:val="left" w:leader="dot" w:pos="9811"/>
            </w:tabs>
            <w:ind w:hanging="244"/>
            <w:rPr>
              <w:b w:val="0"/>
            </w:rPr>
          </w:pPr>
          <w:r>
            <w:rPr>
              <w:spacing w:val="-5"/>
            </w:rPr>
            <w:t>Target</w:t>
          </w:r>
          <w:r>
            <w:rPr>
              <w:spacing w:val="-4"/>
            </w:rPr>
            <w:t xml:space="preserve"> </w:t>
          </w:r>
          <w:r>
            <w:t>correlati</w:t>
          </w:r>
          <w:r>
            <w:tab/>
          </w:r>
          <w:r>
            <w:rPr>
              <w:b w:val="0"/>
            </w:rPr>
            <w:t>4</w:t>
          </w:r>
        </w:p>
        <w:p w:rsidR="00A74567" w:rsidRDefault="00A74567">
          <w:pPr>
            <w:pStyle w:val="TOC2"/>
            <w:numPr>
              <w:ilvl w:val="0"/>
              <w:numId w:val="6"/>
            </w:numPr>
            <w:tabs>
              <w:tab w:val="left" w:pos="858"/>
              <w:tab w:val="left" w:leader="dot" w:pos="9830"/>
            </w:tabs>
            <w:spacing w:before="164"/>
            <w:ind w:hanging="244"/>
            <w:rPr>
              <w:b w:val="0"/>
            </w:rPr>
          </w:pPr>
          <w:hyperlink w:anchor="_TOC_250001" w:history="1">
            <w:r w:rsidR="00B601B9">
              <w:t>Misure</w:t>
            </w:r>
            <w:r w:rsidR="00B601B9">
              <w:rPr>
                <w:spacing w:val="-8"/>
              </w:rPr>
              <w:t xml:space="preserve"> </w:t>
            </w:r>
            <w:r w:rsidR="00B601B9">
              <w:t>correlate</w:t>
            </w:r>
            <w:r w:rsidR="00B601B9">
              <w:tab/>
            </w:r>
            <w:r w:rsidR="00B601B9">
              <w:rPr>
                <w:b w:val="0"/>
              </w:rPr>
              <w:t>5</w:t>
            </w:r>
          </w:hyperlink>
        </w:p>
        <w:p w:rsidR="00A74567" w:rsidRDefault="00A74567">
          <w:pPr>
            <w:pStyle w:val="TOC2"/>
            <w:numPr>
              <w:ilvl w:val="0"/>
              <w:numId w:val="6"/>
            </w:numPr>
            <w:tabs>
              <w:tab w:val="left" w:pos="858"/>
              <w:tab w:val="left" w:leader="dot" w:pos="9830"/>
            </w:tabs>
            <w:ind w:hanging="244"/>
            <w:rPr>
              <w:b w:val="0"/>
            </w:rPr>
          </w:pPr>
          <w:hyperlink w:anchor="_TOC_250000" w:history="1">
            <w:r w:rsidR="00B601B9">
              <w:t>Programmi</w:t>
            </w:r>
            <w:r w:rsidR="00B601B9">
              <w:rPr>
                <w:spacing w:val="-5"/>
              </w:rPr>
              <w:t xml:space="preserve"> </w:t>
            </w:r>
            <w:r w:rsidR="00B601B9">
              <w:t>di</w:t>
            </w:r>
            <w:r w:rsidR="00B601B9">
              <w:rPr>
                <w:spacing w:val="-7"/>
              </w:rPr>
              <w:t xml:space="preserve"> </w:t>
            </w:r>
            <w:r w:rsidR="00B601B9">
              <w:t>monitoraggio</w:t>
            </w:r>
            <w:r w:rsidR="00B601B9">
              <w:tab/>
            </w:r>
            <w:r w:rsidR="00B601B9">
              <w:rPr>
                <w:b w:val="0"/>
              </w:rPr>
              <w:t>5</w:t>
            </w:r>
          </w:hyperlink>
        </w:p>
        <w:p w:rsidR="00A74567" w:rsidRDefault="00B601B9">
          <w:pPr>
            <w:pStyle w:val="TOC1"/>
            <w:spacing w:before="576"/>
          </w:pPr>
          <w:r>
            <w:rPr>
              <w:color w:val="4F81BC"/>
            </w:rPr>
            <w:t>SCHEDE PROGRAMMI DI MONITORAGGIO</w:t>
          </w:r>
        </w:p>
        <w:p w:rsidR="00A74567" w:rsidRDefault="00B601B9">
          <w:pPr>
            <w:pStyle w:val="TOC1"/>
            <w:tabs>
              <w:tab w:val="left" w:leader="dot" w:pos="9794"/>
            </w:tabs>
            <w:rPr>
              <w:b w:val="0"/>
            </w:rPr>
          </w:pPr>
          <w:r>
            <w:t>MONITORAGGIO PER IL RILEVAMENTO DI SPECIE</w:t>
          </w:r>
          <w:r>
            <w:rPr>
              <w:spacing w:val="-30"/>
            </w:rPr>
            <w:t xml:space="preserve"> </w:t>
          </w:r>
          <w:r>
            <w:t>NON</w:t>
          </w:r>
          <w:r>
            <w:rPr>
              <w:spacing w:val="-7"/>
            </w:rPr>
            <w:t xml:space="preserve"> </w:t>
          </w:r>
          <w:r>
            <w:t>INDIGENE…</w:t>
          </w:r>
          <w:r>
            <w:tab/>
          </w:r>
          <w:r>
            <w:rPr>
              <w:b w:val="0"/>
            </w:rPr>
            <w:t>6</w:t>
          </w:r>
        </w:p>
      </w:sdtContent>
    </w:sdt>
    <w:p w:rsidR="00A74567" w:rsidRDefault="00A74567">
      <w:pPr>
        <w:sectPr w:rsidR="00A74567">
          <w:pgSz w:w="11910" w:h="16840"/>
          <w:pgMar w:top="1320" w:right="620" w:bottom="280" w:left="660" w:header="720" w:footer="720" w:gutter="0"/>
          <w:cols w:space="720"/>
        </w:sectPr>
      </w:pPr>
    </w:p>
    <w:p w:rsidR="00A74567" w:rsidRDefault="00A74567">
      <w:pPr>
        <w:pStyle w:val="Corpodeltesto"/>
        <w:rPr>
          <w:sz w:val="22"/>
        </w:rPr>
      </w:pPr>
    </w:p>
    <w:p w:rsidR="00A74567" w:rsidRDefault="00A74567">
      <w:pPr>
        <w:pStyle w:val="Corpodel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484.95pt;height:72.5pt;mso-position-horizontal-relative:char;mso-position-vertical-relative:line" coordsize="9699,1450">
            <v:shape id="_x0000_s1066" style="position:absolute;width:9699;height:1440" coordsize="9699,1440" path="m9698,l,,,439,,938r,502l9698,1440r,-502l9698,439,9698,xe" fillcolor="#001f5f" stroked="f">
              <v:path arrowok="t"/>
            </v:shape>
            <v:rect id="_x0000_s1065" style="position:absolute;top:1440;width:9699;height:10" fillcolor="#006fc0" stroked="f"/>
            <v:shape id="_x0000_s1064" type="#_x0000_t202" style="position:absolute;width:9699;height:1440" filled="f" stroked="f">
              <v:textbox inset="0,0,0,0">
                <w:txbxContent>
                  <w:p w:rsidR="00A74567" w:rsidRDefault="00B601B9">
                    <w:pPr>
                      <w:ind w:left="1828" w:right="182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Strategia di monitoraggio</w:t>
                    </w:r>
                  </w:p>
                  <w:p w:rsidR="00A74567" w:rsidRDefault="00A74567">
                    <w:pPr>
                      <w:spacing w:before="10"/>
                      <w:rPr>
                        <w:b/>
                        <w:sz w:val="45"/>
                      </w:rPr>
                    </w:pPr>
                  </w:p>
                  <w:p w:rsidR="00A74567" w:rsidRDefault="00B601B9">
                    <w:pPr>
                      <w:ind w:left="1830" w:right="182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DESCRITTORE 2 – SPECIE NON INDIGENE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4567" w:rsidRDefault="00A74567">
      <w:pPr>
        <w:pStyle w:val="Corpodeltesto"/>
        <w:spacing w:before="3"/>
        <w:rPr>
          <w:sz w:val="31"/>
        </w:r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ind w:hanging="710"/>
      </w:pPr>
      <w:bookmarkStart w:id="0" w:name="_TOC_250004"/>
      <w:r>
        <w:rPr>
          <w:color w:val="001F5F"/>
        </w:rPr>
        <w:t>Descrizione della strategia di</w:t>
      </w:r>
      <w:r>
        <w:rPr>
          <w:color w:val="001F5F"/>
          <w:spacing w:val="-6"/>
        </w:rPr>
        <w:t xml:space="preserve"> </w:t>
      </w:r>
      <w:bookmarkEnd w:id="0"/>
      <w:r>
        <w:rPr>
          <w:color w:val="001F5F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84.95pt;height:.5pt;mso-position-horizontal-relative:char;mso-position-vertical-relative:line" coordsize="9699,10">
            <v:rect id="_x0000_s1062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 w:line="276" w:lineRule="auto"/>
        <w:ind w:left="472" w:right="509" w:firstLine="283"/>
        <w:jc w:val="both"/>
      </w:pPr>
      <w:r>
        <w:t>Il Programma di Monitoraggio per il rilevamento di specie non indigene (NIS) è finalizzato alla valutazione del raggiungimento del Buono Stato Ambientale (GES 2.1) e dei traguardi ambientali (T 2.1, T2.2 e T 2.4) stabil</w:t>
      </w:r>
      <w:r>
        <w:t>iti per il Descrittore 2 dal D.M. 15/2/2019, nonché alla verifica dell’efficacia delle misure.</w:t>
      </w:r>
    </w:p>
    <w:p w:rsidR="00A74567" w:rsidRDefault="00B601B9">
      <w:pPr>
        <w:pStyle w:val="Corpodeltesto"/>
        <w:spacing w:before="2" w:line="276" w:lineRule="auto"/>
        <w:ind w:left="472" w:right="514" w:firstLine="283"/>
        <w:jc w:val="both"/>
      </w:pPr>
      <w:r>
        <w:t xml:space="preserve">Il monitoraggio prevede l’acquisizione di dati di presenza e di abbondanza di specie non indigene in aree associate ai principali vettori di introduzione, quali </w:t>
      </w:r>
      <w:r>
        <w:t>traffico marittimo e acquacoltura. I dati di presenza relativi alle specie non indigene di nuova introduzione saranno utilizzati ai fini della valutazione del GES e contribuiranno al raggiungimento dei traguardi ambientali T2.1 e T2.4, mentre i dati di abb</w:t>
      </w:r>
      <w:r>
        <w:t>ondanza consentiranno valutazioni relative alla invasività delle specie di interesse per lo sviluppo di ulteriori indicatori e per il raggiungimento del Target T 2.3.</w:t>
      </w:r>
    </w:p>
    <w:p w:rsidR="00A74567" w:rsidRDefault="00B601B9">
      <w:pPr>
        <w:pStyle w:val="Corpodeltesto"/>
        <w:spacing w:line="276" w:lineRule="auto"/>
        <w:ind w:left="472" w:right="509" w:firstLine="283"/>
        <w:jc w:val="both"/>
      </w:pPr>
      <w:r>
        <w:t xml:space="preserve">Le aree di indagine, in ciascuna sottoregione, saranno scelte in funzione della presenza </w:t>
      </w:r>
      <w:r>
        <w:t xml:space="preserve">delle attività antropiche che maggiormente favoriscono </w:t>
      </w:r>
      <w:r>
        <w:rPr>
          <w:spacing w:val="-4"/>
        </w:rPr>
        <w:t xml:space="preserve">l’entrata </w:t>
      </w:r>
      <w:r>
        <w:t xml:space="preserve">di specie non indigene: 1) le aree portuali di categoria 2 classe 1, in relazione alla maggiore frequenza di imbarcazioni che </w:t>
      </w:r>
      <w:r>
        <w:rPr>
          <w:spacing w:val="-3"/>
        </w:rPr>
        <w:t xml:space="preserve">effettuano rotte </w:t>
      </w:r>
      <w:r>
        <w:t>internazionali a cui sono associate le vie di in</w:t>
      </w:r>
      <w:r>
        <w:t>troduzione riconducibili alla categoria “</w:t>
      </w:r>
      <w:r>
        <w:rPr>
          <w:i/>
        </w:rPr>
        <w:t>transport stowaway</w:t>
      </w:r>
      <w:r>
        <w:t>” (</w:t>
      </w:r>
      <w:r>
        <w:rPr>
          <w:i/>
        </w:rPr>
        <w:t>ship fouling</w:t>
      </w:r>
      <w:r>
        <w:t xml:space="preserve">, </w:t>
      </w:r>
      <w:r>
        <w:rPr>
          <w:i/>
        </w:rPr>
        <w:t>ballast water</w:t>
      </w:r>
      <w:r>
        <w:t xml:space="preserve">, </w:t>
      </w:r>
      <w:r>
        <w:rPr>
          <w:i/>
        </w:rPr>
        <w:t>ship hitchhicker</w:t>
      </w:r>
      <w:r>
        <w:t>); 2) impianti di molluschicoltura, dove avvengono frequenti movimentazioni e importazioni di lotti di bivalvi a cui è associata prevalentemente la v</w:t>
      </w:r>
      <w:r>
        <w:t>ia di introduzione “</w:t>
      </w:r>
      <w:r>
        <w:rPr>
          <w:i/>
        </w:rPr>
        <w:t>transport contaminant</w:t>
      </w:r>
      <w:r>
        <w:t>” (</w:t>
      </w:r>
      <w:r>
        <w:rPr>
          <w:i/>
        </w:rPr>
        <w:t>contaminant on animals</w:t>
      </w:r>
      <w:r>
        <w:t>) e, in misura minore, “</w:t>
      </w:r>
      <w:r>
        <w:rPr>
          <w:i/>
        </w:rPr>
        <w:t xml:space="preserve">release in </w:t>
      </w:r>
      <w:r>
        <w:rPr>
          <w:i/>
          <w:spacing w:val="-4"/>
        </w:rPr>
        <w:t>nature</w:t>
      </w:r>
      <w:r>
        <w:rPr>
          <w:spacing w:val="-4"/>
        </w:rPr>
        <w:t xml:space="preserve">”. </w:t>
      </w:r>
      <w:r>
        <w:t xml:space="preserve">Le categorie delle vie di introduzione sono riportate secondo la definizione contenuta nel documento della </w:t>
      </w:r>
      <w:r>
        <w:rPr>
          <w:spacing w:val="-3"/>
        </w:rPr>
        <w:t xml:space="preserve">CBD, </w:t>
      </w:r>
      <w:r>
        <w:t>2014 (</w:t>
      </w:r>
      <w:r>
        <w:rPr>
          <w:i/>
        </w:rPr>
        <w:t xml:space="preserve">Pathways of introduction of </w:t>
      </w:r>
      <w:r>
        <w:rPr>
          <w:i/>
        </w:rPr>
        <w:t>invasive species,</w:t>
      </w:r>
      <w:r>
        <w:rPr>
          <w:i/>
          <w:spacing w:val="-6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prioritization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management</w:t>
      </w:r>
      <w:r>
        <w:t>).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selezionate</w:t>
      </w:r>
      <w:r>
        <w:rPr>
          <w:spacing w:val="-2"/>
        </w:rPr>
        <w:t xml:space="preserve"> </w:t>
      </w:r>
      <w:r>
        <w:t>dovrà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adeguato a rappresentare l’intera sottoregione sulla base della caratterizzazione delle aree di indagine e dei chilometri di costa (che per ogni sottoregione corrispondono a: MAD-IT 2041 km, MWE-IT 4725 km, MIC-IT 1509</w:t>
      </w:r>
      <w:r>
        <w:rPr>
          <w:spacing w:val="-1"/>
        </w:rPr>
        <w:t xml:space="preserve"> </w:t>
      </w:r>
      <w:r>
        <w:t>km).</w:t>
      </w:r>
    </w:p>
    <w:p w:rsidR="00A74567" w:rsidRDefault="00B601B9">
      <w:pPr>
        <w:pStyle w:val="Corpodeltesto"/>
        <w:spacing w:line="276" w:lineRule="auto"/>
        <w:ind w:left="472" w:right="511" w:firstLine="283"/>
        <w:jc w:val="both"/>
      </w:pPr>
      <w:r>
        <w:t>Per la caratterizzazione delle a</w:t>
      </w:r>
      <w:r>
        <w:t>ree di indagine saranno restituite, per quanto riguarda i porti, le informazioni relative a intensità del traffico marittimo e rotte ricavate dai dati AIS e per gli impianti di molluschicoltura le informazioni relative alle importazioni e i movimenti dei l</w:t>
      </w:r>
      <w:r>
        <w:t>otti di molluschi o, in assenza di queste, le informazioni relative alle produzioni.</w:t>
      </w:r>
    </w:p>
    <w:p w:rsidR="00A74567" w:rsidRDefault="00B601B9">
      <w:pPr>
        <w:pStyle w:val="Corpodeltesto"/>
        <w:spacing w:line="276" w:lineRule="auto"/>
        <w:ind w:left="472" w:right="512" w:firstLine="283"/>
        <w:jc w:val="both"/>
      </w:pPr>
      <w:r>
        <w:t>In ciascuna area di indagine verranno effettuati i campionamenti per il monitoraggio delle componenti planctonica (fitoplancton, mesozooplancton, macrozooplancton) e bento</w:t>
      </w:r>
      <w:r>
        <w:t>nica (macrobenthos, epimegabenthos).</w:t>
      </w:r>
    </w:p>
    <w:p w:rsidR="00A74567" w:rsidRDefault="00B601B9">
      <w:pPr>
        <w:pStyle w:val="Corpodeltesto"/>
        <w:spacing w:line="276" w:lineRule="auto"/>
        <w:ind w:left="472" w:right="509" w:firstLine="283"/>
        <w:jc w:val="both"/>
      </w:pPr>
      <w:r>
        <w:t>In aggiunta al campionamento standard, si ritiene strategico integrare il monitoraggio con una attività pilota di analisi del DNA ambientale in un’area portuale di maggiore rilevanza per ciascuna macroarea. L’identifica</w:t>
      </w:r>
      <w:r>
        <w:t>zione tassonomica basata sul metabarcoding del DNA ambientale si sta sempre più utilizzando come strumento complementare ai protocolli standard; tra i vantaggi</w:t>
      </w:r>
    </w:p>
    <w:p w:rsidR="00A74567" w:rsidRDefault="00A74567">
      <w:pPr>
        <w:spacing w:line="276" w:lineRule="auto"/>
        <w:jc w:val="both"/>
        <w:sectPr w:rsidR="00A74567">
          <w:footerReference w:type="default" r:id="rId10"/>
          <w:pgSz w:w="11910" w:h="16840"/>
          <w:pgMar w:top="1580" w:right="620" w:bottom="680" w:left="660" w:header="0" w:footer="488" w:gutter="0"/>
          <w:pgNumType w:start="3"/>
          <w:cols w:space="720"/>
        </w:sectPr>
      </w:pPr>
    </w:p>
    <w:p w:rsidR="00A74567" w:rsidRDefault="00B601B9">
      <w:pPr>
        <w:pStyle w:val="Corpodeltesto"/>
        <w:spacing w:before="37" w:line="276" w:lineRule="auto"/>
        <w:ind w:left="472" w:right="515"/>
        <w:jc w:val="both"/>
      </w:pPr>
      <w:r>
        <w:lastRenderedPageBreak/>
        <w:t>riconosciuti a queste tecniche vi è la possibilità di rilevare la presenza di specie che possono sfuggire ai monitoraggi tradizionali in quanto rappresentate da un basso numero di individui o in stati di sviluppo difficilmente ric</w:t>
      </w:r>
      <w:r>
        <w:t>onoscibili su base morfologica, tale caratteristica risulta particolarmente rilevante ai fini di un rilevamento precoce di specie non indigene.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rPr>
          <w:sz w:val="29"/>
        </w:r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ind w:hanging="710"/>
      </w:pPr>
      <w:bookmarkStart w:id="1" w:name="_TOC_250003"/>
      <w:r>
        <w:rPr>
          <w:color w:val="001F5F"/>
          <w:spacing w:val="-3"/>
        </w:rPr>
        <w:t xml:space="preserve">Tempistiche </w:t>
      </w:r>
      <w:r>
        <w:rPr>
          <w:color w:val="001F5F"/>
        </w:rPr>
        <w:t xml:space="preserve">per completare la copertura della </w:t>
      </w:r>
      <w:r>
        <w:rPr>
          <w:color w:val="001F5F"/>
          <w:spacing w:val="-3"/>
        </w:rPr>
        <w:t xml:space="preserve">strategia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bookmarkEnd w:id="1"/>
      <w:r>
        <w:rPr>
          <w:color w:val="001F5F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84.95pt;height:.5pt;mso-position-horizontal-relative:char;mso-position-vertical-relative:line" coordsize="9699,10">
            <v:rect id="_x0000_s1060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1"/>
        <w:rPr>
          <w:b/>
          <w:sz w:val="15"/>
        </w:rPr>
      </w:pPr>
    </w:p>
    <w:p w:rsidR="00A74567" w:rsidRDefault="00B601B9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87"/>
        <w:ind w:right="625" w:firstLine="0"/>
        <w:rPr>
          <w:i/>
          <w:sz w:val="24"/>
        </w:rPr>
      </w:pPr>
      <w:r>
        <w:rPr>
          <w:i/>
          <w:sz w:val="24"/>
        </w:rPr>
        <w:t>un monitoraggio adeguato sarà attuato entro luglio 2020 (data per l'aggiornamento dei programmi 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monitoraggio);</w:t>
      </w:r>
    </w:p>
    <w:p w:rsidR="00A74567" w:rsidRDefault="00A74567">
      <w:pPr>
        <w:pStyle w:val="Corpodeltesto"/>
        <w:spacing w:before="2"/>
        <w:rPr>
          <w:i/>
          <w:sz w:val="29"/>
        </w:r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ind w:hanging="710"/>
      </w:pPr>
      <w:bookmarkStart w:id="2" w:name="_TOC_250002"/>
      <w:r>
        <w:rPr>
          <w:color w:val="001F5F"/>
        </w:rPr>
        <w:t>Criteri</w:t>
      </w:r>
      <w:r>
        <w:rPr>
          <w:color w:val="001F5F"/>
          <w:spacing w:val="-2"/>
        </w:rPr>
        <w:t xml:space="preserve"> </w:t>
      </w:r>
      <w:bookmarkEnd w:id="2"/>
      <w:r>
        <w:rPr>
          <w:color w:val="001F5F"/>
        </w:rPr>
        <w:t>correlati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84.95pt;height:.5pt;mso-position-horizontal-relative:char;mso-position-vertical-relative:line" coordsize="9699,10">
            <v:rect id="_x0000_s1058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spacing w:before="52"/>
        <w:ind w:left="586"/>
        <w:jc w:val="both"/>
        <w:rPr>
          <w:sz w:val="24"/>
        </w:rPr>
      </w:pPr>
      <w:r>
        <w:rPr>
          <w:b/>
          <w:sz w:val="24"/>
        </w:rPr>
        <w:t>Criterio primario D2C1</w:t>
      </w:r>
      <w:r>
        <w:rPr>
          <w:sz w:val="24"/>
        </w:rPr>
        <w:t>:</w:t>
      </w:r>
    </w:p>
    <w:p w:rsidR="00A74567" w:rsidRDefault="00B601B9">
      <w:pPr>
        <w:pStyle w:val="Corpodeltesto"/>
        <w:ind w:left="586" w:right="621"/>
        <w:jc w:val="both"/>
      </w:pPr>
      <w:r>
        <w:t>viene ridotto al minimo e, se possibile, a zero, il numero di specie non indigene di nuova introduzione nell'ambiente mediante attività umane, per ciascun periodo di valutazione (6 anni) misurato</w:t>
      </w:r>
      <w:r>
        <w:t xml:space="preserve"> dall'anno di riferimento indicato per la valutazione iniziale ai sensi dell'articolo 8, paragrafo 1, della direttiva 2008/56/CE. Gli Stati membri stabiliscono il valore di soglia per quanto riguarda il numero di nuove introduzioni di specie non indigene, </w:t>
      </w:r>
      <w:r>
        <w:t>attraverso la cooperazione regionale o sottoregionale.</w:t>
      </w:r>
    </w:p>
    <w:p w:rsidR="00A74567" w:rsidRDefault="00A74567">
      <w:pPr>
        <w:pStyle w:val="Corpodeltesto"/>
        <w:spacing w:before="10"/>
        <w:rPr>
          <w:sz w:val="28"/>
        </w:r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spacing w:after="3"/>
        <w:ind w:hanging="710"/>
      </w:pPr>
      <w:r>
        <w:rPr>
          <w:color w:val="001F5F"/>
        </w:rPr>
        <w:t xml:space="preserve">GES e </w:t>
      </w:r>
      <w:r>
        <w:rPr>
          <w:color w:val="001F5F"/>
          <w:spacing w:val="-5"/>
        </w:rPr>
        <w:t>Target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correlati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84.95pt;height:.5pt;mso-position-horizontal-relative:char;mso-position-vertical-relative:line" coordsize="9699,10">
            <v:rect id="_x0000_s1056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10"/>
        <w:rPr>
          <w:b/>
          <w:sz w:val="22"/>
        </w:rPr>
      </w:pPr>
    </w:p>
    <w:p w:rsidR="00A74567" w:rsidRDefault="00B601B9">
      <w:pPr>
        <w:pStyle w:val="Corpodeltesto"/>
        <w:spacing w:before="52"/>
        <w:ind w:left="586" w:right="619"/>
      </w:pPr>
      <w:r>
        <w:rPr>
          <w:b/>
        </w:rPr>
        <w:t xml:space="preserve">G 2.1 </w:t>
      </w:r>
      <w:r>
        <w:t>È ridotto al minimo il numero di specie non indigene di nuova introduzione in aree associate ai principali vettori di introduzione</w:t>
      </w:r>
    </w:p>
    <w:p w:rsidR="00A74567" w:rsidRDefault="00B601B9">
      <w:pPr>
        <w:pStyle w:val="Corpodeltesto"/>
        <w:ind w:left="586" w:right="619"/>
      </w:pPr>
      <w:r>
        <w:rPr>
          <w:b/>
        </w:rPr>
        <w:t xml:space="preserve">T 2.1 </w:t>
      </w:r>
      <w:r>
        <w:t>Entro il 2020 tutti i porti ed i terminali di categoria 2 classe 1 sono dotati di un sistema di “early warning” per la tempestiva rilevazione della presenza di specie non indigene invasive e la segnalazione di allarme alle autorità competenti</w:t>
      </w:r>
    </w:p>
    <w:p w:rsidR="00A74567" w:rsidRDefault="00B601B9">
      <w:pPr>
        <w:pStyle w:val="Corpodeltesto"/>
        <w:ind w:left="586" w:right="627"/>
        <w:jc w:val="both"/>
      </w:pPr>
      <w:r>
        <w:rPr>
          <w:b/>
        </w:rPr>
        <w:t xml:space="preserve">T 2.2 </w:t>
      </w:r>
      <w:r>
        <w:t>Sono im</w:t>
      </w:r>
      <w:r>
        <w:t>plementati i sistemi di tracciabilità di tutte le importazioni, traslocazioni e spostamenti di specie non indigene in impianti di acquacoltura come previsto dal Regolamento 708/2007 e successive modifiche</w:t>
      </w:r>
    </w:p>
    <w:p w:rsidR="00A74567" w:rsidRDefault="00B601B9">
      <w:pPr>
        <w:pStyle w:val="Corpodeltesto"/>
        <w:ind w:left="586" w:right="629"/>
        <w:jc w:val="both"/>
      </w:pP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2.3</w:t>
      </w:r>
      <w:r>
        <w:rPr>
          <w:b/>
          <w:spacing w:val="-3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attivati</w:t>
      </w:r>
      <w:r>
        <w:rPr>
          <w:spacing w:val="-6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risposta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t>lle</w:t>
      </w:r>
      <w:r>
        <w:rPr>
          <w:spacing w:val="-5"/>
        </w:rPr>
        <w:t xml:space="preserve"> </w:t>
      </w:r>
      <w:r>
        <w:t>Autorità</w:t>
      </w:r>
      <w:r>
        <w:rPr>
          <w:spacing w:val="-5"/>
        </w:rPr>
        <w:t xml:space="preserve"> </w:t>
      </w:r>
      <w:r>
        <w:t>competenti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seguito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segnalazioni di specie invasive in aree portuali e in zone destinate</w:t>
      </w:r>
      <w:r>
        <w:rPr>
          <w:spacing w:val="-18"/>
        </w:rPr>
        <w:t xml:space="preserve"> </w:t>
      </w:r>
      <w:r>
        <w:t>all’acquacoltura.</w:t>
      </w:r>
    </w:p>
    <w:p w:rsidR="00A74567" w:rsidRDefault="00B601B9">
      <w:pPr>
        <w:pStyle w:val="Corpodeltesto"/>
        <w:spacing w:before="1"/>
        <w:ind w:left="586"/>
        <w:jc w:val="both"/>
      </w:pPr>
      <w:r>
        <w:rPr>
          <w:b/>
        </w:rPr>
        <w:t xml:space="preserve">T 2.4 </w:t>
      </w:r>
      <w:r>
        <w:t>Sono ridotte le lacune conoscitive in merito alle principali vie di introduzione e vettori</w:t>
      </w:r>
    </w:p>
    <w:p w:rsidR="00A74567" w:rsidRDefault="00A74567">
      <w:pPr>
        <w:jc w:val="both"/>
        <w:sectPr w:rsidR="00A74567">
          <w:pgSz w:w="11910" w:h="16840"/>
          <w:pgMar w:top="1360" w:right="620" w:bottom="800" w:left="660" w:header="0" w:footer="488" w:gutter="0"/>
          <w:cols w:space="720"/>
        </w:sect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spacing w:before="37" w:after="3"/>
        <w:ind w:hanging="710"/>
      </w:pPr>
      <w:bookmarkStart w:id="3" w:name="_TOC_250001"/>
      <w:r>
        <w:rPr>
          <w:color w:val="001F5F"/>
        </w:rPr>
        <w:lastRenderedPageBreak/>
        <w:t>Misure</w:t>
      </w:r>
      <w:r>
        <w:rPr>
          <w:color w:val="001F5F"/>
          <w:spacing w:val="-4"/>
        </w:rPr>
        <w:t xml:space="preserve"> </w:t>
      </w:r>
      <w:bookmarkEnd w:id="3"/>
      <w:r>
        <w:rPr>
          <w:color w:val="001F5F"/>
        </w:rPr>
        <w:t>correlate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84.95pt;height:.5pt;mso-position-horizontal-relative:char;mso-position-vertical-relative:line" coordsize="9699,10">
            <v:rect id="_x0000_s1054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/>
        <w:ind w:left="472"/>
      </w:pPr>
      <w:r>
        <w:t>Elenco delle misure incluse nel “Programma nazionale di misure” (DPCM del 10 ottobre 2017) con diretta connessione al Descrittore 2</w:t>
      </w:r>
    </w:p>
    <w:p w:rsidR="00A74567" w:rsidRDefault="00A74567">
      <w:pPr>
        <w:pStyle w:val="Corpodeltesto"/>
      </w:pP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26"/>
        <w:gridCol w:w="1575"/>
        <w:gridCol w:w="2175"/>
        <w:gridCol w:w="4321"/>
      </w:tblGrid>
      <w:tr w:rsidR="00A74567">
        <w:trPr>
          <w:trHeight w:val="220"/>
        </w:trPr>
        <w:tc>
          <w:tcPr>
            <w:tcW w:w="5176" w:type="dxa"/>
            <w:gridSpan w:val="3"/>
          </w:tcPr>
          <w:p w:rsidR="00A74567" w:rsidRDefault="00B601B9">
            <w:pPr>
              <w:pStyle w:val="TableParagraph"/>
              <w:spacing w:line="200" w:lineRule="exact"/>
              <w:ind w:left="2050" w:right="2043"/>
              <w:jc w:val="center"/>
              <w:rPr>
                <w:sz w:val="18"/>
              </w:rPr>
            </w:pPr>
            <w:r>
              <w:rPr>
                <w:sz w:val="18"/>
              </w:rPr>
              <w:t>Codice misura</w:t>
            </w:r>
          </w:p>
        </w:tc>
        <w:tc>
          <w:tcPr>
            <w:tcW w:w="4321" w:type="dxa"/>
            <w:vMerge w:val="restart"/>
          </w:tcPr>
          <w:p w:rsidR="00A74567" w:rsidRDefault="00A74567">
            <w:pPr>
              <w:pStyle w:val="TableParagraph"/>
              <w:spacing w:before="5"/>
              <w:rPr>
                <w:sz w:val="17"/>
              </w:rPr>
            </w:pPr>
          </w:p>
          <w:p w:rsidR="00A74567" w:rsidRDefault="00B601B9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Nome della misura</w:t>
            </w:r>
          </w:p>
        </w:tc>
      </w:tr>
      <w:tr w:rsidR="00A74567">
        <w:trPr>
          <w:trHeight w:val="438"/>
        </w:trPr>
        <w:tc>
          <w:tcPr>
            <w:tcW w:w="1426" w:type="dxa"/>
          </w:tcPr>
          <w:p w:rsidR="00A74567" w:rsidRDefault="00B601B9">
            <w:pPr>
              <w:pStyle w:val="TableParagraph"/>
              <w:spacing w:line="218" w:lineRule="exact"/>
              <w:ind w:left="206"/>
              <w:rPr>
                <w:sz w:val="18"/>
              </w:rPr>
            </w:pPr>
            <w:r>
              <w:rPr>
                <w:sz w:val="18"/>
              </w:rPr>
              <w:t>Mediterraneo</w:t>
            </w:r>
          </w:p>
          <w:p w:rsidR="00A74567" w:rsidRDefault="00B601B9">
            <w:pPr>
              <w:pStyle w:val="TableParagraph"/>
              <w:spacing w:line="201" w:lineRule="exact"/>
              <w:ind w:left="280"/>
              <w:rPr>
                <w:sz w:val="18"/>
              </w:rPr>
            </w:pPr>
            <w:r>
              <w:rPr>
                <w:sz w:val="18"/>
              </w:rPr>
              <w:t>Occidentale</w:t>
            </w:r>
          </w:p>
        </w:tc>
        <w:tc>
          <w:tcPr>
            <w:tcW w:w="1575" w:type="dxa"/>
          </w:tcPr>
          <w:p w:rsidR="00A74567" w:rsidRDefault="00B601B9">
            <w:pPr>
              <w:pStyle w:val="TableParagraph"/>
              <w:spacing w:before="109"/>
              <w:ind w:left="284"/>
              <w:rPr>
                <w:sz w:val="18"/>
              </w:rPr>
            </w:pPr>
            <w:r>
              <w:rPr>
                <w:sz w:val="18"/>
              </w:rPr>
              <w:t>Mar Adriatico</w:t>
            </w:r>
          </w:p>
        </w:tc>
        <w:tc>
          <w:tcPr>
            <w:tcW w:w="2175" w:type="dxa"/>
          </w:tcPr>
          <w:p w:rsidR="00A74567" w:rsidRDefault="00B601B9">
            <w:pPr>
              <w:pStyle w:val="TableParagraph"/>
              <w:spacing w:before="109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Ionio e Medit. Centrale</w:t>
            </w:r>
          </w:p>
        </w:tc>
        <w:tc>
          <w:tcPr>
            <w:tcW w:w="4321" w:type="dxa"/>
            <w:vMerge/>
            <w:tcBorders>
              <w:top w:val="nil"/>
            </w:tcBorders>
          </w:tcPr>
          <w:p w:rsidR="00A74567" w:rsidRDefault="00A74567">
            <w:pPr>
              <w:rPr>
                <w:sz w:val="2"/>
                <w:szCs w:val="2"/>
              </w:rPr>
            </w:pPr>
          </w:p>
        </w:tc>
      </w:tr>
      <w:tr w:rsidR="00A74567">
        <w:trPr>
          <w:trHeight w:val="731"/>
        </w:trPr>
        <w:tc>
          <w:tcPr>
            <w:tcW w:w="1426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MWEIT-M040</w:t>
            </w:r>
          </w:p>
        </w:tc>
        <w:tc>
          <w:tcPr>
            <w:tcW w:w="15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MADIT-M037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MICIT-M037</w:t>
            </w: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ind w:left="183" w:right="201"/>
              <w:rPr>
                <w:sz w:val="20"/>
              </w:rPr>
            </w:pPr>
            <w:r>
              <w:rPr>
                <w:sz w:val="20"/>
              </w:rPr>
              <w:t>Misure per la protezione degli habitat acquatici dai rischi derivanti dall’impiego di specie</w:t>
            </w:r>
          </w:p>
          <w:p w:rsidR="00A74567" w:rsidRDefault="00B601B9">
            <w:pPr>
              <w:pStyle w:val="TableParagraph"/>
              <w:spacing w:line="223" w:lineRule="exact"/>
              <w:ind w:left="183"/>
              <w:rPr>
                <w:sz w:val="20"/>
              </w:rPr>
            </w:pPr>
            <w:r>
              <w:rPr>
                <w:sz w:val="20"/>
              </w:rPr>
              <w:t>alloctone in acquacoltura</w:t>
            </w:r>
          </w:p>
        </w:tc>
      </w:tr>
      <w:tr w:rsidR="00A74567">
        <w:trPr>
          <w:trHeight w:val="1221"/>
        </w:trPr>
        <w:tc>
          <w:tcPr>
            <w:tcW w:w="1426" w:type="dxa"/>
          </w:tcPr>
          <w:p w:rsidR="00A74567" w:rsidRDefault="00A74567">
            <w:pPr>
              <w:pStyle w:val="TableParagraph"/>
              <w:rPr>
                <w:sz w:val="18"/>
              </w:rPr>
            </w:pPr>
          </w:p>
          <w:p w:rsidR="00A74567" w:rsidRDefault="00A74567">
            <w:pPr>
              <w:pStyle w:val="TableParagraph"/>
              <w:rPr>
                <w:sz w:val="23"/>
              </w:rPr>
            </w:pPr>
          </w:p>
          <w:p w:rsidR="00A74567" w:rsidRDefault="00B601B9">
            <w:pPr>
              <w:pStyle w:val="TableParagraph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MWEIT-M041</w:t>
            </w:r>
          </w:p>
        </w:tc>
        <w:tc>
          <w:tcPr>
            <w:tcW w:w="1575" w:type="dxa"/>
          </w:tcPr>
          <w:p w:rsidR="00A74567" w:rsidRDefault="00A74567">
            <w:pPr>
              <w:pStyle w:val="TableParagraph"/>
              <w:rPr>
                <w:sz w:val="18"/>
              </w:rPr>
            </w:pPr>
          </w:p>
          <w:p w:rsidR="00A74567" w:rsidRDefault="00A74567">
            <w:pPr>
              <w:pStyle w:val="TableParagraph"/>
              <w:rPr>
                <w:sz w:val="23"/>
              </w:rPr>
            </w:pPr>
          </w:p>
          <w:p w:rsidR="00A74567" w:rsidRDefault="00B601B9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MADIT-M038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rPr>
                <w:sz w:val="18"/>
              </w:rPr>
            </w:pPr>
          </w:p>
          <w:p w:rsidR="00A74567" w:rsidRDefault="00A74567">
            <w:pPr>
              <w:pStyle w:val="TableParagraph"/>
              <w:rPr>
                <w:sz w:val="23"/>
              </w:rPr>
            </w:pPr>
          </w:p>
          <w:p w:rsidR="00A74567" w:rsidRDefault="00B601B9">
            <w:pPr>
              <w:pStyle w:val="TableParagraph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MICIT-M038</w:t>
            </w: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ind w:left="183" w:right="201"/>
              <w:rPr>
                <w:sz w:val="20"/>
              </w:rPr>
            </w:pPr>
            <w:r>
              <w:rPr>
                <w:sz w:val="20"/>
              </w:rPr>
              <w:t>Misure per la mitigazione degli effetti negativi sulla biodiversità causati dall’introduzione e dalla diffusione delle specie invasive non autoctone</w:t>
            </w:r>
          </w:p>
        </w:tc>
      </w:tr>
      <w:tr w:rsidR="00A74567">
        <w:trPr>
          <w:trHeight w:val="731"/>
        </w:trPr>
        <w:tc>
          <w:tcPr>
            <w:tcW w:w="1426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MWEIT-M042</w:t>
            </w:r>
          </w:p>
        </w:tc>
        <w:tc>
          <w:tcPr>
            <w:tcW w:w="15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MADIT-M039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MICIT-M039</w:t>
            </w: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ind w:left="183" w:right="201"/>
              <w:rPr>
                <w:sz w:val="20"/>
              </w:rPr>
            </w:pPr>
            <w:r>
              <w:rPr>
                <w:sz w:val="20"/>
              </w:rPr>
              <w:t>Misure per il controllo delle specie aliene invasive</w:t>
            </w:r>
          </w:p>
        </w:tc>
      </w:tr>
      <w:tr w:rsidR="00A74567">
        <w:trPr>
          <w:trHeight w:val="489"/>
        </w:trPr>
        <w:tc>
          <w:tcPr>
            <w:tcW w:w="1426" w:type="dxa"/>
          </w:tcPr>
          <w:p w:rsidR="00A74567" w:rsidRDefault="00A7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A74567" w:rsidRDefault="00B601B9">
            <w:pPr>
              <w:pStyle w:val="TableParagraph"/>
              <w:spacing w:before="135"/>
              <w:ind w:left="294"/>
              <w:rPr>
                <w:sz w:val="18"/>
              </w:rPr>
            </w:pPr>
            <w:r>
              <w:rPr>
                <w:sz w:val="18"/>
              </w:rPr>
              <w:t>MADIT-M040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spacing w:before="1" w:line="243" w:lineRule="exact"/>
              <w:ind w:left="183"/>
              <w:rPr>
                <w:sz w:val="20"/>
              </w:rPr>
            </w:pPr>
            <w:r>
              <w:rPr>
                <w:sz w:val="20"/>
              </w:rPr>
              <w:t>WFD18 Misure di gestione della flora e fauna</w:t>
            </w:r>
          </w:p>
          <w:p w:rsidR="00A74567" w:rsidRDefault="00B601B9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autoctona protetta</w:t>
            </w:r>
          </w:p>
        </w:tc>
      </w:tr>
      <w:tr w:rsidR="00A74567">
        <w:trPr>
          <w:trHeight w:val="609"/>
        </w:trPr>
        <w:tc>
          <w:tcPr>
            <w:tcW w:w="1426" w:type="dxa"/>
          </w:tcPr>
          <w:p w:rsidR="00A74567" w:rsidRDefault="00A7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:rsidR="00A74567" w:rsidRDefault="00A74567">
            <w:pPr>
              <w:pStyle w:val="TableParagraph"/>
              <w:spacing w:before="10"/>
              <w:rPr>
                <w:sz w:val="15"/>
              </w:rPr>
            </w:pPr>
          </w:p>
          <w:p w:rsidR="00A74567" w:rsidRDefault="00B601B9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MADIT-M041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spacing w:before="59"/>
              <w:ind w:left="183" w:right="201"/>
              <w:rPr>
                <w:sz w:val="20"/>
              </w:rPr>
            </w:pPr>
            <w:r>
              <w:rPr>
                <w:sz w:val="20"/>
              </w:rPr>
              <w:t>Misure per il controllo e la gestione delle acque di zavorra</w:t>
            </w:r>
          </w:p>
        </w:tc>
      </w:tr>
      <w:tr w:rsidR="00A74567">
        <w:trPr>
          <w:trHeight w:val="731"/>
        </w:trPr>
        <w:tc>
          <w:tcPr>
            <w:tcW w:w="1426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184" w:right="173"/>
              <w:jc w:val="center"/>
              <w:rPr>
                <w:sz w:val="18"/>
              </w:rPr>
            </w:pPr>
            <w:r>
              <w:rPr>
                <w:sz w:val="18"/>
              </w:rPr>
              <w:t>MWEIT-M043</w:t>
            </w:r>
          </w:p>
        </w:tc>
        <w:tc>
          <w:tcPr>
            <w:tcW w:w="15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MADIT-M042</w:t>
            </w:r>
          </w:p>
        </w:tc>
        <w:tc>
          <w:tcPr>
            <w:tcW w:w="2175" w:type="dxa"/>
          </w:tcPr>
          <w:p w:rsidR="00A74567" w:rsidRDefault="00A74567">
            <w:pPr>
              <w:pStyle w:val="TableParagraph"/>
              <w:spacing w:before="11"/>
              <w:rPr>
                <w:sz w:val="20"/>
              </w:rPr>
            </w:pPr>
          </w:p>
          <w:p w:rsidR="00A74567" w:rsidRDefault="00B601B9">
            <w:pPr>
              <w:pStyle w:val="TableParagraph"/>
              <w:ind w:left="222" w:right="209"/>
              <w:jc w:val="center"/>
              <w:rPr>
                <w:sz w:val="18"/>
              </w:rPr>
            </w:pPr>
            <w:r>
              <w:rPr>
                <w:sz w:val="18"/>
              </w:rPr>
              <w:t>MICIT-M040</w:t>
            </w:r>
          </w:p>
        </w:tc>
        <w:tc>
          <w:tcPr>
            <w:tcW w:w="4321" w:type="dxa"/>
          </w:tcPr>
          <w:p w:rsidR="00A74567" w:rsidRDefault="00B601B9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Misure per il controllo e la gestione delle introduzioni e traslocazioni di specie aliene ai</w:t>
            </w:r>
          </w:p>
          <w:p w:rsidR="00A74567" w:rsidRDefault="00B601B9">
            <w:pPr>
              <w:pStyle w:val="TableParagraph"/>
              <w:spacing w:line="223" w:lineRule="exact"/>
              <w:ind w:left="183"/>
              <w:rPr>
                <w:sz w:val="20"/>
              </w:rPr>
            </w:pPr>
            <w:r>
              <w:rPr>
                <w:sz w:val="20"/>
              </w:rPr>
              <w:t>fini di acquacoltura</w:t>
            </w:r>
          </w:p>
        </w:tc>
      </w:tr>
    </w:tbl>
    <w:p w:rsidR="00A74567" w:rsidRDefault="00A74567">
      <w:pPr>
        <w:pStyle w:val="Corpodeltesto"/>
      </w:pPr>
    </w:p>
    <w:p w:rsidR="00A74567" w:rsidRDefault="00A74567">
      <w:pPr>
        <w:pStyle w:val="Corpodeltesto"/>
        <w:spacing w:before="1"/>
      </w:pPr>
    </w:p>
    <w:p w:rsidR="00A74567" w:rsidRDefault="00B601B9">
      <w:pPr>
        <w:pStyle w:val="Corpodeltesto"/>
        <w:ind w:left="472" w:right="619"/>
      </w:pPr>
      <w:r>
        <w:t>Elenco delle nuove misure incluse nel “Programma nazionale di misure” (DPCM del 10 ottobre 2017) con diretta connessione al Descrittore 2</w:t>
      </w:r>
    </w:p>
    <w:p w:rsidR="00A74567" w:rsidRDefault="00A74567">
      <w:pPr>
        <w:pStyle w:val="Corpodeltesto"/>
      </w:pP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634"/>
        <w:gridCol w:w="1800"/>
        <w:gridCol w:w="1905"/>
        <w:gridCol w:w="4154"/>
      </w:tblGrid>
      <w:tr w:rsidR="00A74567">
        <w:trPr>
          <w:trHeight w:val="220"/>
        </w:trPr>
        <w:tc>
          <w:tcPr>
            <w:tcW w:w="5339" w:type="dxa"/>
            <w:gridSpan w:val="3"/>
          </w:tcPr>
          <w:p w:rsidR="00A74567" w:rsidRDefault="00B601B9">
            <w:pPr>
              <w:pStyle w:val="TableParagraph"/>
              <w:spacing w:line="200" w:lineRule="exact"/>
              <w:ind w:left="2134" w:right="2122"/>
              <w:jc w:val="center"/>
              <w:rPr>
                <w:sz w:val="18"/>
              </w:rPr>
            </w:pPr>
            <w:r>
              <w:rPr>
                <w:sz w:val="18"/>
              </w:rPr>
              <w:t>Codice misura</w:t>
            </w:r>
          </w:p>
        </w:tc>
        <w:tc>
          <w:tcPr>
            <w:tcW w:w="4154" w:type="dxa"/>
            <w:vMerge w:val="restart"/>
          </w:tcPr>
          <w:p w:rsidR="00A74567" w:rsidRDefault="00A74567">
            <w:pPr>
              <w:pStyle w:val="TableParagraph"/>
              <w:spacing w:before="5"/>
              <w:rPr>
                <w:sz w:val="17"/>
              </w:rPr>
            </w:pPr>
          </w:p>
          <w:p w:rsidR="00A74567" w:rsidRDefault="00B601B9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Nome della misura</w:t>
            </w:r>
          </w:p>
        </w:tc>
      </w:tr>
      <w:tr w:rsidR="00A74567">
        <w:trPr>
          <w:trHeight w:val="438"/>
        </w:trPr>
        <w:tc>
          <w:tcPr>
            <w:tcW w:w="1634" w:type="dxa"/>
          </w:tcPr>
          <w:p w:rsidR="00A74567" w:rsidRDefault="00B601B9">
            <w:pPr>
              <w:pStyle w:val="TableParagraph"/>
              <w:spacing w:line="218" w:lineRule="exact"/>
              <w:ind w:left="311"/>
              <w:rPr>
                <w:sz w:val="18"/>
              </w:rPr>
            </w:pPr>
            <w:r>
              <w:rPr>
                <w:sz w:val="18"/>
              </w:rPr>
              <w:t>Mediterraneo</w:t>
            </w:r>
          </w:p>
          <w:p w:rsidR="00A74567" w:rsidRDefault="00B601B9">
            <w:pPr>
              <w:pStyle w:val="TableParagraph"/>
              <w:spacing w:line="201" w:lineRule="exact"/>
              <w:ind w:left="386"/>
              <w:rPr>
                <w:sz w:val="18"/>
              </w:rPr>
            </w:pPr>
            <w:r>
              <w:rPr>
                <w:sz w:val="18"/>
              </w:rPr>
              <w:t>Occidentale</w:t>
            </w:r>
          </w:p>
        </w:tc>
        <w:tc>
          <w:tcPr>
            <w:tcW w:w="1800" w:type="dxa"/>
          </w:tcPr>
          <w:p w:rsidR="00A74567" w:rsidRDefault="00B601B9">
            <w:pPr>
              <w:pStyle w:val="TableParagraph"/>
              <w:spacing w:before="107"/>
              <w:ind w:left="400"/>
              <w:rPr>
                <w:sz w:val="18"/>
              </w:rPr>
            </w:pPr>
            <w:r>
              <w:rPr>
                <w:sz w:val="18"/>
              </w:rPr>
              <w:t>Mar Adriatico</w:t>
            </w:r>
          </w:p>
        </w:tc>
        <w:tc>
          <w:tcPr>
            <w:tcW w:w="1905" w:type="dxa"/>
          </w:tcPr>
          <w:p w:rsidR="00A74567" w:rsidRDefault="00B601B9">
            <w:pPr>
              <w:pStyle w:val="TableParagraph"/>
              <w:spacing w:line="218" w:lineRule="exact"/>
              <w:ind w:left="420" w:right="406"/>
              <w:jc w:val="center"/>
              <w:rPr>
                <w:sz w:val="18"/>
              </w:rPr>
            </w:pPr>
            <w:r>
              <w:rPr>
                <w:sz w:val="18"/>
              </w:rPr>
              <w:t>Ionio e Medit.</w:t>
            </w:r>
          </w:p>
          <w:p w:rsidR="00A74567" w:rsidRDefault="00B601B9">
            <w:pPr>
              <w:pStyle w:val="TableParagraph"/>
              <w:spacing w:line="201" w:lineRule="exact"/>
              <w:ind w:left="416" w:right="406"/>
              <w:jc w:val="center"/>
              <w:rPr>
                <w:sz w:val="18"/>
              </w:rPr>
            </w:pPr>
            <w:r>
              <w:rPr>
                <w:sz w:val="18"/>
              </w:rPr>
              <w:t>Centrale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A74567" w:rsidRDefault="00A74567">
            <w:pPr>
              <w:rPr>
                <w:sz w:val="2"/>
                <w:szCs w:val="2"/>
              </w:rPr>
            </w:pPr>
          </w:p>
        </w:tc>
      </w:tr>
      <w:tr w:rsidR="00A74567">
        <w:trPr>
          <w:trHeight w:val="489"/>
        </w:trPr>
        <w:tc>
          <w:tcPr>
            <w:tcW w:w="1634" w:type="dxa"/>
          </w:tcPr>
          <w:p w:rsidR="00A74567" w:rsidRDefault="00B601B9">
            <w:pPr>
              <w:pStyle w:val="TableParagraph"/>
              <w:spacing w:before="23"/>
              <w:ind w:left="590" w:right="229" w:hanging="329"/>
              <w:rPr>
                <w:sz w:val="18"/>
              </w:rPr>
            </w:pPr>
            <w:r>
              <w:rPr>
                <w:sz w:val="18"/>
              </w:rPr>
              <w:t>MWEIT -M045- NEW8</w:t>
            </w:r>
          </w:p>
        </w:tc>
        <w:tc>
          <w:tcPr>
            <w:tcW w:w="1800" w:type="dxa"/>
          </w:tcPr>
          <w:p w:rsidR="00A74567" w:rsidRDefault="00B601B9">
            <w:pPr>
              <w:pStyle w:val="TableParagraph"/>
              <w:spacing w:before="23"/>
              <w:ind w:left="675" w:right="327" w:hanging="313"/>
              <w:rPr>
                <w:sz w:val="18"/>
              </w:rPr>
            </w:pPr>
            <w:r>
              <w:rPr>
                <w:sz w:val="18"/>
              </w:rPr>
              <w:t>MADIT -M044- NEW8</w:t>
            </w:r>
          </w:p>
        </w:tc>
        <w:tc>
          <w:tcPr>
            <w:tcW w:w="1905" w:type="dxa"/>
          </w:tcPr>
          <w:p w:rsidR="00A74567" w:rsidRDefault="00B601B9">
            <w:pPr>
              <w:pStyle w:val="TableParagraph"/>
              <w:spacing w:before="133"/>
              <w:ind w:left="223"/>
              <w:rPr>
                <w:sz w:val="18"/>
              </w:rPr>
            </w:pPr>
            <w:r>
              <w:rPr>
                <w:sz w:val="18"/>
              </w:rPr>
              <w:t>MICIT -M042-NEW8</w:t>
            </w:r>
          </w:p>
        </w:tc>
        <w:tc>
          <w:tcPr>
            <w:tcW w:w="4154" w:type="dxa"/>
          </w:tcPr>
          <w:p w:rsidR="00A74567" w:rsidRDefault="00B601B9">
            <w:pPr>
              <w:pStyle w:val="TableParagraph"/>
              <w:spacing w:line="243" w:lineRule="exact"/>
              <w:ind w:left="73"/>
              <w:rPr>
                <w:sz w:val="20"/>
              </w:rPr>
            </w:pPr>
            <w:r>
              <w:rPr>
                <w:sz w:val="20"/>
              </w:rPr>
              <w:t>Istituzione di un National Focal Point per specie</w:t>
            </w:r>
          </w:p>
          <w:p w:rsidR="00A74567" w:rsidRDefault="00B601B9"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sz w:val="20"/>
              </w:rPr>
              <w:t>acquatiche nocive e specie non indigene</w:t>
            </w:r>
          </w:p>
        </w:tc>
      </w:tr>
    </w:tbl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</w:pPr>
    </w:p>
    <w:p w:rsidR="00A74567" w:rsidRDefault="00A74567">
      <w:pPr>
        <w:pStyle w:val="Corpodeltesto"/>
        <w:spacing w:before="9"/>
        <w:rPr>
          <w:sz w:val="28"/>
        </w:rPr>
      </w:pPr>
    </w:p>
    <w:p w:rsidR="00A74567" w:rsidRDefault="00B601B9">
      <w:pPr>
        <w:pStyle w:val="Heading2"/>
        <w:numPr>
          <w:ilvl w:val="0"/>
          <w:numId w:val="5"/>
        </w:numPr>
        <w:tabs>
          <w:tab w:val="left" w:pos="1181"/>
          <w:tab w:val="left" w:pos="1182"/>
        </w:tabs>
        <w:spacing w:before="1"/>
        <w:ind w:hanging="710"/>
      </w:pPr>
      <w:bookmarkStart w:id="4" w:name="_TOC_250000"/>
      <w:r>
        <w:rPr>
          <w:color w:val="001F5F"/>
        </w:rPr>
        <w:t>Programmi di</w:t>
      </w:r>
      <w:r>
        <w:rPr>
          <w:color w:val="001F5F"/>
          <w:spacing w:val="-1"/>
        </w:rPr>
        <w:t xml:space="preserve"> </w:t>
      </w:r>
      <w:bookmarkEnd w:id="4"/>
      <w:r>
        <w:rPr>
          <w:color w:val="001F5F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79.3pt;height:.5pt;mso-position-horizontal-relative:char;mso-position-vertical-relative:line" coordsize="9586,10">
            <v:rect id="_x0000_s1052" style="position:absolute;width:9586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1"/>
        <w:rPr>
          <w:b/>
          <w:sz w:val="16"/>
        </w:rPr>
      </w:pPr>
    </w:p>
    <w:p w:rsidR="00A74567" w:rsidRDefault="00B601B9">
      <w:pPr>
        <w:pStyle w:val="Corpodeltesto"/>
        <w:spacing w:before="51"/>
        <w:ind w:left="586" w:right="619"/>
      </w:pPr>
      <w:r>
        <w:t>Monitoraggio per il rilevamento di specie non indigene - MAD-IT-D2-01, MWE-IT-D2-01, MIC-IT- D2-01.</w:t>
      </w:r>
    </w:p>
    <w:p w:rsidR="00A74567" w:rsidRDefault="00A74567">
      <w:pPr>
        <w:sectPr w:rsidR="00A74567">
          <w:pgSz w:w="11910" w:h="16840"/>
          <w:pgMar w:top="1360" w:right="620" w:bottom="800" w:left="660" w:header="0" w:footer="488" w:gutter="0"/>
          <w:cols w:space="720"/>
        </w:sectPr>
      </w:pPr>
    </w:p>
    <w:p w:rsidR="00A74567" w:rsidRDefault="00A74567">
      <w:pPr>
        <w:pStyle w:val="Corpodeltesto"/>
        <w:rPr>
          <w:sz w:val="12"/>
        </w:rPr>
      </w:pPr>
    </w:p>
    <w:p w:rsidR="00A74567" w:rsidRDefault="00A74567">
      <w:pPr>
        <w:pStyle w:val="Corpodeltesto"/>
        <w:ind w:left="56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78.9pt;height:80.8pt;mso-position-horizontal-relative:char;mso-position-vertical-relative:line" fillcolor="#006fc0" stroked="f">
            <v:textbox inset="0,0,0,0">
              <w:txbxContent>
                <w:p w:rsidR="00A74567" w:rsidRDefault="00B601B9">
                  <w:pPr>
                    <w:spacing w:line="407" w:lineRule="exact"/>
                    <w:ind w:left="96" w:right="99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FFFFFF"/>
                      <w:sz w:val="36"/>
                    </w:rPr>
                    <w:t>Programma di monitoraggio</w:t>
                  </w:r>
                </w:p>
                <w:p w:rsidR="00A74567" w:rsidRDefault="00B601B9">
                  <w:pPr>
                    <w:spacing w:before="61"/>
                    <w:ind w:left="96" w:right="96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FFFFFF"/>
                      <w:sz w:val="36"/>
                    </w:rPr>
                    <w:t>MAD-IT-D2-01, MWE-IT-D2-01, MIC-IT-D2-01</w:t>
                  </w:r>
                </w:p>
                <w:p w:rsidR="00A74567" w:rsidRDefault="00B601B9">
                  <w:pPr>
                    <w:spacing w:before="59"/>
                    <w:ind w:left="96" w:right="10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FFFFFF"/>
                      <w:sz w:val="36"/>
                    </w:rPr>
                    <w:t>Monitoraggio per il rilevamento di specie non indigene</w:t>
                  </w:r>
                </w:p>
              </w:txbxContent>
            </v:textbox>
            <w10:wrap type="none"/>
            <w10:anchorlock/>
          </v:shape>
        </w:pict>
      </w:r>
    </w:p>
    <w:p w:rsidR="00A74567" w:rsidRDefault="00A74567">
      <w:pPr>
        <w:pStyle w:val="Corpodeltesto"/>
        <w:rPr>
          <w:sz w:val="20"/>
        </w:rPr>
      </w:pPr>
    </w:p>
    <w:p w:rsidR="00A74567" w:rsidRDefault="00A74567">
      <w:pPr>
        <w:pStyle w:val="Corpodeltesto"/>
        <w:spacing w:before="6"/>
        <w:rPr>
          <w:sz w:val="1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spacing w:before="52"/>
        <w:ind w:hanging="710"/>
        <w:jc w:val="left"/>
      </w:pPr>
      <w:r>
        <w:rPr>
          <w:color w:val="006FC0"/>
        </w:rPr>
        <w:t>Programma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4.95pt;height:.5pt;mso-position-horizontal-relative:char;mso-position-vertical-relative:line" coordsize="9699,10">
            <v:rect id="_x0000_s1049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7"/>
        <w:rPr>
          <w:b/>
          <w:sz w:val="16"/>
        </w:rPr>
      </w:pPr>
    </w:p>
    <w:p w:rsidR="00A74567" w:rsidRDefault="00B601B9">
      <w:pPr>
        <w:pStyle w:val="Corpodeltesto"/>
        <w:spacing w:before="52" w:line="436" w:lineRule="auto"/>
        <w:ind w:left="472" w:right="4782"/>
      </w:pPr>
      <w:r>
        <w:t>Monitoraggio per il rilevamento di specie non indigene MAD-IT-D2-01</w:t>
      </w:r>
    </w:p>
    <w:p w:rsidR="00A74567" w:rsidRDefault="00B601B9">
      <w:pPr>
        <w:pStyle w:val="Corpodeltesto"/>
        <w:spacing w:line="436" w:lineRule="auto"/>
        <w:ind w:left="472" w:right="8701"/>
      </w:pPr>
      <w:r>
        <w:t>MWE-IT-D2-01 MIC-IT-D2-01</w:t>
      </w:r>
    </w:p>
    <w:p w:rsidR="00A74567" w:rsidRDefault="00A74567">
      <w:pPr>
        <w:pStyle w:val="Corpodeltesto"/>
        <w:spacing w:before="9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ind w:hanging="710"/>
        <w:jc w:val="left"/>
      </w:pPr>
      <w:r>
        <w:rPr>
          <w:color w:val="006FC0"/>
        </w:rPr>
        <w:t>Descrizione del Programma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4.95pt;height:.5pt;mso-position-horizontal-relative:char;mso-position-vertical-relative:line" coordsize="9699,10">
            <v:rect id="_x0000_s1047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9"/>
        <w:rPr>
          <w:b/>
          <w:sz w:val="18"/>
        </w:rPr>
      </w:pPr>
    </w:p>
    <w:p w:rsidR="00A74567" w:rsidRDefault="00B601B9">
      <w:pPr>
        <w:pStyle w:val="Corpodeltesto"/>
        <w:spacing w:before="52"/>
        <w:ind w:left="472" w:right="510"/>
        <w:jc w:val="both"/>
      </w:pPr>
      <w:r>
        <w:t>Il programma di monitoraggio per le specie non indigene intende valutare il numero di nuove introduzioni rispetto al ciclo di monitoraggio precedente (2015-2020) in ciascuna sottoregione ai fini della valutazione del r</w:t>
      </w:r>
      <w:r>
        <w:t>aggiungimento del GES. Inoltre, i dati nel loro complesso contribuiscono al raggiungimento dei traguardi ambientali e, per quanto riguarda i dati di abbondanza potranno essere utili per la definizione di nuovi indicatori.</w:t>
      </w:r>
    </w:p>
    <w:p w:rsidR="00A74567" w:rsidRDefault="00A74567">
      <w:pPr>
        <w:pStyle w:val="Corpodeltesto"/>
        <w:spacing w:before="7"/>
        <w:rPr>
          <w:sz w:val="19"/>
        </w:rPr>
      </w:pPr>
    </w:p>
    <w:p w:rsidR="00A74567" w:rsidRDefault="00B601B9">
      <w:pPr>
        <w:pStyle w:val="Corpodeltesto"/>
        <w:ind w:left="472" w:right="511"/>
        <w:jc w:val="both"/>
      </w:pPr>
      <w:r>
        <w:t>In ciascuna sottoregione, le aree</w:t>
      </w:r>
      <w:r>
        <w:t xml:space="preserve"> di indagine relative ai porti saranno, in linea di massima, le stesse di quelle monitorate nel ciclo precedente (2015-2020) al fine di consentire un confronto tra i diversi cicli di monitoraggio. Per quanto riguarda gli impianti di molluschicoltura, si st</w:t>
      </w:r>
      <w:r>
        <w:t>ima di individuare 2 impianti per sottoregione, selezionati sulla base delle informazioni relative alla frequenza di movimentazione dei lotti e/o alla produzione e in aree sufficientemente distanti da aree portuali per facilitare l’assegnazione delle NIS a</w:t>
      </w:r>
      <w:r>
        <w:t>l vettore.</w:t>
      </w:r>
    </w:p>
    <w:p w:rsidR="00A74567" w:rsidRDefault="00A74567">
      <w:pPr>
        <w:pStyle w:val="Corpodeltesto"/>
        <w:spacing w:before="7"/>
        <w:rPr>
          <w:sz w:val="19"/>
        </w:rPr>
      </w:pPr>
    </w:p>
    <w:p w:rsidR="00A74567" w:rsidRDefault="00B601B9">
      <w:pPr>
        <w:pStyle w:val="Corpodeltesto"/>
        <w:ind w:left="472" w:right="514"/>
        <w:jc w:val="both"/>
      </w:pPr>
      <w:r>
        <w:t>Il monitoraggio interessa le componenti planctoniche (fitoplancton, mesozooplancton, macrozooplancton) e bentoniche (macrobenthos, epimegabenthos).</w:t>
      </w:r>
    </w:p>
    <w:p w:rsidR="00A74567" w:rsidRDefault="00A74567">
      <w:pPr>
        <w:pStyle w:val="Corpodeltesto"/>
        <w:spacing w:before="8"/>
        <w:rPr>
          <w:sz w:val="19"/>
        </w:rPr>
      </w:pPr>
    </w:p>
    <w:p w:rsidR="00A74567" w:rsidRDefault="00B601B9">
      <w:pPr>
        <w:pStyle w:val="Corpodeltesto"/>
        <w:ind w:left="472" w:right="515"/>
        <w:jc w:val="both"/>
      </w:pPr>
      <w:r>
        <w:t>Al fine di valutare la variabilità temporale della matrice biotica nelle aree di indagine, i ca</w:t>
      </w:r>
      <w:r>
        <w:t>mpionamenti per la componente bentonica di fondo mobile saranno condotti semestralmente, in</w:t>
      </w:r>
      <w:r>
        <w:rPr>
          <w:spacing w:val="-4"/>
        </w:rPr>
        <w:t xml:space="preserve"> </w:t>
      </w:r>
      <w:r>
        <w:t>primavera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autunno,</w:t>
      </w:r>
      <w:r>
        <w:rPr>
          <w:spacing w:val="-9"/>
        </w:rPr>
        <w:t xml:space="preserve"> </w:t>
      </w:r>
      <w:r>
        <w:t>mentre</w:t>
      </w:r>
      <w:r>
        <w:rPr>
          <w:spacing w:val="-6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componente</w:t>
      </w:r>
      <w:r>
        <w:rPr>
          <w:spacing w:val="-4"/>
        </w:rPr>
        <w:t xml:space="preserve"> </w:t>
      </w:r>
      <w:r>
        <w:t>planctonica</w:t>
      </w:r>
      <w:r>
        <w:rPr>
          <w:spacing w:val="-5"/>
        </w:rPr>
        <w:t xml:space="preserve"> </w:t>
      </w:r>
      <w:r>
        <w:t>avranno</w:t>
      </w:r>
      <w:r>
        <w:rPr>
          <w:spacing w:val="-5"/>
        </w:rPr>
        <w:t xml:space="preserve"> </w:t>
      </w:r>
      <w:r>
        <w:t>cadenza</w:t>
      </w:r>
      <w:r>
        <w:rPr>
          <w:spacing w:val="-7"/>
        </w:rPr>
        <w:t xml:space="preserve"> </w:t>
      </w:r>
      <w:r>
        <w:t>bimestrale. Il</w:t>
      </w:r>
      <w:r>
        <w:rPr>
          <w:spacing w:val="-3"/>
        </w:rPr>
        <w:t xml:space="preserve"> </w:t>
      </w:r>
      <w:r>
        <w:t>monitoraggio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duri,</w:t>
      </w:r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grattaggio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pa</w:t>
      </w:r>
      <w:r>
        <w:t>nnelli</w:t>
      </w:r>
      <w:r>
        <w:rPr>
          <w:spacing w:val="-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semestrale.</w:t>
      </w:r>
    </w:p>
    <w:p w:rsidR="00A74567" w:rsidRDefault="00A74567">
      <w:pPr>
        <w:pStyle w:val="Corpodeltesto"/>
        <w:spacing w:before="10"/>
        <w:rPr>
          <w:sz w:val="19"/>
        </w:rPr>
      </w:pPr>
    </w:p>
    <w:p w:rsidR="00A74567" w:rsidRDefault="00B601B9">
      <w:pPr>
        <w:pStyle w:val="Corpodeltesto"/>
        <w:ind w:left="472" w:right="515"/>
        <w:jc w:val="both"/>
      </w:pPr>
      <w:r>
        <w:t>Data l’importanza di giungere ad una determinazione tassonomica fino al livello specie, si ritiene opportuno poter integrare l’analisi dei campioni basata su metodologie morfologiche tradizionali con strumenti molecolari.</w:t>
      </w:r>
    </w:p>
    <w:p w:rsidR="00A74567" w:rsidRDefault="00A74567">
      <w:pPr>
        <w:jc w:val="both"/>
        <w:sectPr w:rsidR="00A74567">
          <w:pgSz w:w="11910" w:h="16840"/>
          <w:pgMar w:top="1580" w:right="620" w:bottom="800" w:left="660" w:header="0" w:footer="488" w:gutter="0"/>
          <w:cols w:space="720"/>
        </w:sect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spacing w:before="37" w:after="3"/>
        <w:ind w:hanging="710"/>
        <w:jc w:val="left"/>
      </w:pPr>
      <w:r>
        <w:rPr>
          <w:color w:val="006FC0"/>
        </w:rPr>
        <w:lastRenderedPageBreak/>
        <w:t>Collegamento ai programmi di altre Direttive e/o accordi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internazionali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4.95pt;height:.5pt;mso-position-horizontal-relative:char;mso-position-vertical-relative:line" coordsize="9699,10">
            <v:rect id="_x0000_s1045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8"/>
        <w:rPr>
          <w:b/>
          <w:sz w:val="22"/>
        </w:rPr>
      </w:pPr>
    </w:p>
    <w:p w:rsidR="00A74567" w:rsidRDefault="00B601B9">
      <w:pPr>
        <w:pStyle w:val="Paragrafoelenco"/>
        <w:numPr>
          <w:ilvl w:val="0"/>
          <w:numId w:val="3"/>
        </w:numPr>
        <w:tabs>
          <w:tab w:val="left" w:pos="1182"/>
        </w:tabs>
        <w:ind w:right="513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Regolamento (UE) n. 1143/2014 del Parlamento europeo e del Consiglio, del 22 ottobre 2014, recante</w:t>
      </w:r>
      <w:r>
        <w:rPr>
          <w:rFonts w:ascii="Cambria" w:hAnsi="Cambria"/>
          <w:sz w:val="24"/>
        </w:rPr>
        <w:t xml:space="preserve"> disposizioni volte a prevenire e gestire l’introduzione e la diffusione delle specie esotiche </w:t>
      </w:r>
      <w:r>
        <w:rPr>
          <w:rFonts w:ascii="Cambria" w:hAnsi="Cambria"/>
          <w:spacing w:val="-4"/>
          <w:sz w:val="24"/>
        </w:rPr>
        <w:t>invasive</w:t>
      </w:r>
    </w:p>
    <w:p w:rsidR="00A74567" w:rsidRDefault="00B601B9">
      <w:pPr>
        <w:pStyle w:val="Paragrafoelenco"/>
        <w:numPr>
          <w:ilvl w:val="0"/>
          <w:numId w:val="3"/>
        </w:numPr>
        <w:tabs>
          <w:tab w:val="left" w:pos="1182"/>
        </w:tabs>
        <w:spacing w:before="240"/>
        <w:ind w:right="516" w:firstLine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Regolamento (CE) N. 708/2007 del Consiglio dell’11 giugno 2007 relativo all’impiego in acquacoltura di specie esotiche e di specie localmente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assenti</w:t>
      </w:r>
    </w:p>
    <w:p w:rsidR="00A74567" w:rsidRDefault="00B601B9">
      <w:pPr>
        <w:pStyle w:val="Paragrafoelenco"/>
        <w:numPr>
          <w:ilvl w:val="0"/>
          <w:numId w:val="3"/>
        </w:numPr>
        <w:tabs>
          <w:tab w:val="left" w:pos="1182"/>
        </w:tabs>
        <w:spacing w:before="240"/>
        <w:ind w:left="1181" w:hanging="71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UN</w:t>
      </w:r>
      <w:r>
        <w:rPr>
          <w:rFonts w:ascii="Cambria" w:hAnsi="Cambria"/>
          <w:sz w:val="24"/>
        </w:rPr>
        <w:t>EP-MAP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EcAp</w:t>
      </w:r>
    </w:p>
    <w:p w:rsidR="00A74567" w:rsidRDefault="00B601B9">
      <w:pPr>
        <w:pStyle w:val="Heading2"/>
        <w:numPr>
          <w:ilvl w:val="0"/>
          <w:numId w:val="4"/>
        </w:numPr>
        <w:tabs>
          <w:tab w:val="left" w:pos="1182"/>
        </w:tabs>
        <w:spacing w:before="242"/>
        <w:ind w:hanging="596"/>
        <w:jc w:val="both"/>
      </w:pPr>
      <w:r>
        <w:rPr>
          <w:color w:val="006FC0"/>
        </w:rPr>
        <w:t>Cooperazione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regionale</w:t>
      </w:r>
    </w:p>
    <w:p w:rsidR="00A74567" w:rsidRDefault="00A74567">
      <w:pPr>
        <w:pStyle w:val="Corpodeltesto"/>
        <w:spacing w:line="20" w:lineRule="exact"/>
        <w:ind w:left="5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73.65pt;height:.5pt;mso-position-horizontal-relative:char;mso-position-vertical-relative:line" coordsize="9473,10">
            <v:rect id="_x0000_s1043" style="position:absolute;width:9473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/>
        <w:ind w:left="586" w:right="628"/>
      </w:pPr>
      <w:r>
        <w:t>La cooperazione regionale viene condotta in ambito Convenzione di Barcellona, Programma MAP dell’UNEP.</w:t>
      </w:r>
    </w:p>
    <w:p w:rsidR="00A74567" w:rsidRDefault="00A74567">
      <w:pPr>
        <w:pStyle w:val="Corpodeltesto"/>
        <w:spacing w:before="10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spacing w:before="1"/>
        <w:ind w:hanging="596"/>
        <w:jc w:val="left"/>
      </w:pPr>
      <w:r>
        <w:rPr>
          <w:color w:val="006FC0"/>
        </w:rPr>
        <w:t>Intervallo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temporale</w:t>
      </w:r>
    </w:p>
    <w:p w:rsidR="00A74567" w:rsidRDefault="00A74567">
      <w:pPr>
        <w:pStyle w:val="Corpodeltesto"/>
        <w:spacing w:line="20" w:lineRule="exact"/>
        <w:ind w:left="5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3.65pt;height:.5pt;mso-position-horizontal-relative:char;mso-position-vertical-relative:line" coordsize="9473,10">
            <v:rect id="_x0000_s1041" style="position:absolute;width:9473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19"/>
        </w:rPr>
      </w:pPr>
    </w:p>
    <w:p w:rsidR="00A74567" w:rsidRDefault="00B601B9">
      <w:pPr>
        <w:pStyle w:val="Corpodeltesto"/>
        <w:spacing w:before="52"/>
        <w:ind w:left="586"/>
      </w:pPr>
      <w:r>
        <w:t>2021-2026</w:t>
      </w:r>
    </w:p>
    <w:p w:rsidR="00A74567" w:rsidRDefault="00A74567">
      <w:pPr>
        <w:pStyle w:val="Corpodeltesto"/>
        <w:spacing w:before="11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ind w:hanging="710"/>
        <w:jc w:val="left"/>
      </w:pPr>
      <w:r>
        <w:rPr>
          <w:color w:val="006FC0"/>
        </w:rPr>
        <w:t>Copertura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spaziale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84.95pt;height:.5pt;mso-position-horizontal-relative:char;mso-position-vertical-relative:line" coordsize="9699,10">
            <v:rect id="_x0000_s1039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spacing w:before="225"/>
        <w:ind w:hanging="285"/>
        <w:rPr>
          <w:rFonts w:ascii="Wingdings" w:hAnsi="Wingdings"/>
          <w:sz w:val="24"/>
        </w:rPr>
      </w:pPr>
      <w:r>
        <w:rPr>
          <w:sz w:val="24"/>
        </w:rPr>
        <w:t>"Acque costiere</w:t>
      </w:r>
      <w:r>
        <w:rPr>
          <w:spacing w:val="2"/>
          <w:sz w:val="24"/>
        </w:rPr>
        <w:t xml:space="preserve"> </w:t>
      </w:r>
      <w:r>
        <w:rPr>
          <w:sz w:val="24"/>
        </w:rPr>
        <w:t>(WFD)"</w:t>
      </w: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spacing w:before="2"/>
        <w:ind w:hanging="285"/>
        <w:rPr>
          <w:rFonts w:ascii="Wingdings" w:hAnsi="Wingdings"/>
          <w:sz w:val="24"/>
        </w:rPr>
      </w:pPr>
      <w:r>
        <w:rPr>
          <w:sz w:val="24"/>
        </w:rPr>
        <w:t>"Acque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territoriali"</w:t>
      </w:r>
    </w:p>
    <w:p w:rsidR="00A74567" w:rsidRDefault="00A74567">
      <w:pPr>
        <w:pStyle w:val="Corpodeltesto"/>
        <w:spacing w:before="11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ind w:hanging="710"/>
        <w:jc w:val="left"/>
      </w:pPr>
      <w:r>
        <w:rPr>
          <w:color w:val="006FC0"/>
        </w:rPr>
        <w:t>Marine Reporting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Unit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84.95pt;height:.5pt;mso-position-horizontal-relative:char;mso-position-vertical-relative:line" coordsize="9699,10">
            <v:rect id="_x0000_s1037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/>
        <w:ind w:left="586"/>
      </w:pPr>
      <w:r>
        <w:t>ADRIATIC SEA subregion (MAD)</w:t>
      </w:r>
    </w:p>
    <w:p w:rsidR="00A74567" w:rsidRDefault="00B601B9">
      <w:pPr>
        <w:pStyle w:val="Corpodeltesto"/>
        <w:ind w:left="586"/>
      </w:pPr>
      <w:r>
        <w:t>WESTERN MEDITERRANEAN SEA subregion (MWE)</w:t>
      </w:r>
    </w:p>
    <w:p w:rsidR="00A74567" w:rsidRDefault="00B601B9">
      <w:pPr>
        <w:pStyle w:val="Corpodeltesto"/>
        <w:ind w:left="586"/>
      </w:pPr>
      <w:r>
        <w:t>IONIAN SEA AND CENTRAL MEDITERRANEAN SEA subregion (MIC)</w:t>
      </w:r>
    </w:p>
    <w:p w:rsidR="00A74567" w:rsidRDefault="00A74567">
      <w:pPr>
        <w:pStyle w:val="Corpodeltesto"/>
        <w:spacing w:before="10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spacing w:after="4"/>
        <w:ind w:hanging="710"/>
        <w:jc w:val="left"/>
      </w:pPr>
      <w:r>
        <w:rPr>
          <w:color w:val="006FC0"/>
        </w:rPr>
        <w:t>Scopo del programma di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4.95pt;height:.5pt;mso-position-horizontal-relative:char;mso-position-vertical-relative:line" coordsize="9699,10">
            <v:rect id="_x0000_s1035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/>
        <w:ind w:left="472" w:right="629"/>
        <w:jc w:val="both"/>
      </w:pPr>
      <w:r>
        <w:t>Lo scopo del programma di monitoraggio è l’acquisizione dei dati sulla presenza e abbondanza di specie non indigene in aree associate ai principali vettori di introduzione e si inquadra nelle seguenti tematiche:</w:t>
      </w:r>
    </w:p>
    <w:p w:rsidR="00A74567" w:rsidRDefault="00A74567">
      <w:pPr>
        <w:pStyle w:val="Corpodeltesto"/>
        <w:spacing w:before="11"/>
        <w:rPr>
          <w:sz w:val="23"/>
        </w:rPr>
      </w:pP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ind w:hanging="285"/>
        <w:rPr>
          <w:rFonts w:ascii="Wingdings" w:hAnsi="Wingdings"/>
          <w:sz w:val="24"/>
        </w:rPr>
      </w:pPr>
      <w:r>
        <w:rPr>
          <w:sz w:val="24"/>
        </w:rPr>
        <w:t>"Press</w:t>
      </w:r>
      <w:r>
        <w:rPr>
          <w:sz w:val="24"/>
        </w:rPr>
        <w:t>ioni nell'ambiente</w:t>
      </w:r>
      <w:r>
        <w:rPr>
          <w:spacing w:val="-2"/>
          <w:sz w:val="24"/>
        </w:rPr>
        <w:t xml:space="preserve"> </w:t>
      </w:r>
      <w:r>
        <w:rPr>
          <w:sz w:val="24"/>
        </w:rPr>
        <w:t>marino"</w:t>
      </w: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ind w:hanging="285"/>
        <w:rPr>
          <w:rFonts w:ascii="Wingdings" w:hAnsi="Wingdings"/>
          <w:sz w:val="24"/>
        </w:rPr>
      </w:pPr>
      <w:r>
        <w:rPr>
          <w:sz w:val="24"/>
        </w:rPr>
        <w:t>"Attività umane che causano le</w:t>
      </w:r>
      <w:r>
        <w:rPr>
          <w:spacing w:val="-9"/>
          <w:sz w:val="24"/>
        </w:rPr>
        <w:t xml:space="preserve"> </w:t>
      </w:r>
      <w:r>
        <w:rPr>
          <w:sz w:val="24"/>
        </w:rPr>
        <w:t>pressioni"</w:t>
      </w: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ind w:hanging="285"/>
        <w:rPr>
          <w:rFonts w:ascii="Wingdings" w:hAnsi="Wingdings"/>
          <w:sz w:val="24"/>
        </w:rPr>
      </w:pPr>
      <w:r>
        <w:rPr>
          <w:sz w:val="24"/>
        </w:rPr>
        <w:t>"Efficacia delle</w:t>
      </w:r>
      <w:r>
        <w:rPr>
          <w:spacing w:val="-4"/>
          <w:sz w:val="24"/>
        </w:rPr>
        <w:t xml:space="preserve"> </w:t>
      </w:r>
      <w:r>
        <w:rPr>
          <w:sz w:val="24"/>
        </w:rPr>
        <w:t>misure"</w:t>
      </w:r>
    </w:p>
    <w:p w:rsidR="00A74567" w:rsidRDefault="00A74567">
      <w:pPr>
        <w:pStyle w:val="Corpodeltesto"/>
        <w:spacing w:before="11"/>
        <w:rPr>
          <w:sz w:val="28"/>
        </w:rPr>
      </w:pPr>
    </w:p>
    <w:p w:rsidR="00A74567" w:rsidRDefault="00B601B9">
      <w:pPr>
        <w:pStyle w:val="Heading2"/>
        <w:numPr>
          <w:ilvl w:val="0"/>
          <w:numId w:val="4"/>
        </w:numPr>
        <w:tabs>
          <w:tab w:val="left" w:pos="1181"/>
          <w:tab w:val="left" w:pos="1182"/>
        </w:tabs>
        <w:ind w:hanging="710"/>
        <w:jc w:val="left"/>
      </w:pPr>
      <w:r>
        <w:rPr>
          <w:color w:val="006FC0"/>
        </w:rPr>
        <w:t>Tipo di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4.95pt;height:.5pt;mso-position-horizontal-relative:char;mso-position-vertical-relative:line" coordsize="9699,10">
            <v:rect id="_x0000_s1033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4"/>
        <w:rPr>
          <w:b/>
          <w:sz w:val="17"/>
        </w:rPr>
      </w:pP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spacing w:before="70"/>
        <w:ind w:hanging="285"/>
        <w:rPr>
          <w:rFonts w:ascii="Wingdings" w:hAnsi="Wingdings"/>
        </w:rPr>
      </w:pPr>
      <w:r>
        <w:rPr>
          <w:sz w:val="24"/>
        </w:rPr>
        <w:t xml:space="preserve">Campionamento </w:t>
      </w:r>
      <w:r>
        <w:rPr>
          <w:i/>
          <w:sz w:val="24"/>
        </w:rPr>
        <w:t xml:space="preserve">in situ </w:t>
      </w:r>
      <w:r>
        <w:rPr>
          <w:sz w:val="24"/>
        </w:rPr>
        <w:t>in aree portuali e impianti di</w:t>
      </w:r>
      <w:r>
        <w:rPr>
          <w:spacing w:val="-7"/>
          <w:sz w:val="24"/>
        </w:rPr>
        <w:t xml:space="preserve"> </w:t>
      </w:r>
      <w:r>
        <w:rPr>
          <w:sz w:val="24"/>
        </w:rPr>
        <w:t>molluschicoltura</w:t>
      </w:r>
    </w:p>
    <w:p w:rsidR="00A74567" w:rsidRDefault="00A74567">
      <w:pPr>
        <w:rPr>
          <w:rFonts w:ascii="Wingdings" w:hAnsi="Wingdings"/>
        </w:rPr>
        <w:sectPr w:rsidR="00A74567">
          <w:pgSz w:w="11910" w:h="16840"/>
          <w:pgMar w:top="1360" w:right="620" w:bottom="800" w:left="660" w:header="0" w:footer="488" w:gutter="0"/>
          <w:cols w:space="720"/>
        </w:sectPr>
      </w:pPr>
    </w:p>
    <w:p w:rsidR="00A74567" w:rsidRDefault="00B601B9">
      <w:pPr>
        <w:pStyle w:val="Heading2"/>
        <w:numPr>
          <w:ilvl w:val="0"/>
          <w:numId w:val="1"/>
        </w:numPr>
        <w:tabs>
          <w:tab w:val="left" w:pos="1181"/>
          <w:tab w:val="left" w:pos="1182"/>
        </w:tabs>
        <w:spacing w:before="37" w:after="3"/>
        <w:ind w:hanging="710"/>
      </w:pPr>
      <w:r>
        <w:rPr>
          <w:color w:val="006FC0"/>
        </w:rPr>
        <w:lastRenderedPageBreak/>
        <w:t>Metodo 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4.95pt;height:.5pt;mso-position-horizontal-relative:char;mso-position-vertical-relative:line" coordsize="9699,10">
            <v:rect id="_x0000_s1031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spacing w:before="10"/>
        <w:rPr>
          <w:b/>
          <w:sz w:val="18"/>
        </w:rPr>
      </w:pPr>
    </w:p>
    <w:p w:rsidR="00A74567" w:rsidRDefault="00B601B9">
      <w:pPr>
        <w:pStyle w:val="Corpodeltesto"/>
        <w:spacing w:before="52"/>
        <w:ind w:left="472"/>
      </w:pPr>
      <w:r>
        <w:t>Il monitoraggio riguarda l’elemento “specie” criterio D2C1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spacing w:before="11"/>
        <w:rPr>
          <w:sz w:val="23"/>
        </w:rPr>
      </w:pPr>
    </w:p>
    <w:p w:rsidR="00A74567" w:rsidRDefault="00B601B9">
      <w:pPr>
        <w:spacing w:before="1"/>
        <w:ind w:left="472"/>
        <w:rPr>
          <w:i/>
          <w:sz w:val="24"/>
        </w:rPr>
      </w:pPr>
      <w:r>
        <w:rPr>
          <w:i/>
          <w:color w:val="C45811"/>
          <w:sz w:val="24"/>
          <w:u w:val="single" w:color="C45811"/>
        </w:rPr>
        <w:t>Parametri</w:t>
      </w:r>
      <w:r>
        <w:rPr>
          <w:i/>
          <w:color w:val="C45811"/>
          <w:sz w:val="24"/>
        </w:rPr>
        <w:t xml:space="preserve"> monitorati</w:t>
      </w:r>
    </w:p>
    <w:p w:rsidR="00A74567" w:rsidRDefault="00A74567">
      <w:pPr>
        <w:pStyle w:val="Corpodeltesto"/>
        <w:rPr>
          <w:i/>
          <w:sz w:val="20"/>
        </w:rPr>
      </w:pPr>
    </w:p>
    <w:p w:rsidR="00A74567" w:rsidRDefault="00B601B9">
      <w:pPr>
        <w:pStyle w:val="Corpodeltesto"/>
        <w:ind w:left="472"/>
      </w:pPr>
      <w:r>
        <w:t>Elenco delle specie e abbondanza relativa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spacing w:before="12"/>
        <w:rPr>
          <w:sz w:val="23"/>
        </w:rPr>
      </w:pPr>
    </w:p>
    <w:p w:rsidR="00A74567" w:rsidRDefault="00B601B9">
      <w:pPr>
        <w:ind w:left="472"/>
        <w:rPr>
          <w:i/>
          <w:sz w:val="24"/>
        </w:rPr>
      </w:pPr>
      <w:r>
        <w:rPr>
          <w:i/>
          <w:color w:val="C45811"/>
          <w:sz w:val="24"/>
          <w:u w:val="single" w:color="C45811"/>
        </w:rPr>
        <w:t>Protocollo</w:t>
      </w:r>
      <w:r>
        <w:rPr>
          <w:i/>
          <w:color w:val="C45811"/>
          <w:sz w:val="24"/>
        </w:rPr>
        <w:t xml:space="preserve"> di monito</w:t>
      </w:r>
      <w:r>
        <w:rPr>
          <w:i/>
          <w:color w:val="C45811"/>
          <w:sz w:val="24"/>
        </w:rPr>
        <w:t>raggio</w:t>
      </w:r>
    </w:p>
    <w:p w:rsidR="00A74567" w:rsidRDefault="00A74567">
      <w:pPr>
        <w:pStyle w:val="Corpodeltesto"/>
        <w:spacing w:before="1"/>
        <w:rPr>
          <w:i/>
          <w:sz w:val="20"/>
        </w:rPr>
      </w:pPr>
    </w:p>
    <w:p w:rsidR="00A74567" w:rsidRDefault="00B601B9">
      <w:pPr>
        <w:pStyle w:val="Corpodeltesto"/>
        <w:ind w:left="472" w:right="631"/>
        <w:jc w:val="both"/>
      </w:pPr>
      <w:r>
        <w:t>In ciascuna stazione di campionamento vengono rilevati i dati di temperatura e salinità lungo la colonna d’acqua con l’utilizzo di sonda multiparametrica e il dato di trasparenza dell’acqua con il disco di Secchi. Contestualmente ai campionamenti d</w:t>
      </w:r>
      <w:r>
        <w:t>i benthos viene determinata la granulometria con individuazione delle seguenti 4 classi: ghiaia, sabbia, silt e argilla.</w:t>
      </w:r>
    </w:p>
    <w:p w:rsidR="00A74567" w:rsidRDefault="00B601B9">
      <w:pPr>
        <w:pStyle w:val="Corpodeltesto"/>
        <w:ind w:left="472" w:right="622"/>
        <w:jc w:val="both"/>
      </w:pPr>
      <w:r>
        <w:t xml:space="preserve">Per la determinazione </w:t>
      </w:r>
      <w:r>
        <w:rPr>
          <w:spacing w:val="-3"/>
        </w:rPr>
        <w:t xml:space="preserve">dell’elenco </w:t>
      </w:r>
      <w:r>
        <w:t xml:space="preserve">delle specie e della relativa abbondanza verranno </w:t>
      </w:r>
      <w:r>
        <w:rPr>
          <w:spacing w:val="-3"/>
        </w:rPr>
        <w:t xml:space="preserve">effettuati  </w:t>
      </w:r>
      <w:r>
        <w:t xml:space="preserve">campionamenti specifici per i diversi gruppi tassonomici: il fitoplancton tramite retino e bottiglia Niskin; il mesozooplancton </w:t>
      </w:r>
      <w:r>
        <w:rPr>
          <w:spacing w:val="-3"/>
        </w:rPr>
        <w:t xml:space="preserve">attraverso </w:t>
      </w:r>
      <w:r>
        <w:t xml:space="preserve">pescate verticali tramite un retino con vuoto di maglia pari a 200 μm, a partire da un metro al di sopra del fondale </w:t>
      </w:r>
      <w:r>
        <w:t xml:space="preserve">fino alla superficie; </w:t>
      </w:r>
      <w:r>
        <w:rPr>
          <w:sz w:val="22"/>
        </w:rPr>
        <w:t xml:space="preserve">il </w:t>
      </w:r>
      <w:r>
        <w:t xml:space="preserve">macrozooplancton tramite censimento visivo con osservazioni da bordo o da banchina. Il macrobenthos di </w:t>
      </w:r>
      <w:r>
        <w:rPr>
          <w:spacing w:val="-3"/>
        </w:rPr>
        <w:t xml:space="preserve">substrato </w:t>
      </w:r>
      <w:r>
        <w:t xml:space="preserve">duro </w:t>
      </w:r>
      <w:r>
        <w:rPr>
          <w:spacing w:val="-3"/>
        </w:rPr>
        <w:t xml:space="preserve">attraverso </w:t>
      </w:r>
      <w:r>
        <w:t>grattaggio di superfici e posizionamento di pannelli in alcune aree pilota; il macrobenthos di substra</w:t>
      </w:r>
      <w:r>
        <w:t xml:space="preserve">to mobile mediante l’impiego della benna lungo ogni transetto. </w:t>
      </w:r>
      <w:r>
        <w:rPr>
          <w:spacing w:val="-3"/>
        </w:rPr>
        <w:t xml:space="preserve">L’epimegabenthos </w:t>
      </w:r>
      <w:r>
        <w:t xml:space="preserve">vagile </w:t>
      </w:r>
      <w:r>
        <w:rPr>
          <w:spacing w:val="-3"/>
        </w:rPr>
        <w:t xml:space="preserve">attraverso </w:t>
      </w:r>
      <w:r>
        <w:t>l’utilizzo di nasse, previa autorizzazione da parte della capitaneria di</w:t>
      </w:r>
      <w:r>
        <w:rPr>
          <w:spacing w:val="-4"/>
        </w:rPr>
        <w:t xml:space="preserve"> </w:t>
      </w:r>
      <w:r>
        <w:t>porto.</w:t>
      </w:r>
    </w:p>
    <w:p w:rsidR="00A74567" w:rsidRDefault="00B601B9">
      <w:pPr>
        <w:pStyle w:val="Corpodeltesto"/>
        <w:spacing w:line="292" w:lineRule="exact"/>
        <w:ind w:left="472"/>
        <w:jc w:val="both"/>
      </w:pPr>
      <w:r>
        <w:t xml:space="preserve">La determinazione tassonomica deve prioritariamente raggiungere il livello di </w:t>
      </w:r>
      <w:r>
        <w:t>specie.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spacing w:before="1"/>
      </w:pPr>
    </w:p>
    <w:p w:rsidR="00A74567" w:rsidRDefault="00B601B9">
      <w:pPr>
        <w:ind w:left="472"/>
        <w:jc w:val="both"/>
        <w:rPr>
          <w:i/>
          <w:sz w:val="24"/>
        </w:rPr>
      </w:pPr>
      <w:r>
        <w:rPr>
          <w:i/>
          <w:color w:val="C45811"/>
          <w:sz w:val="24"/>
          <w:u w:val="single" w:color="C45811"/>
        </w:rPr>
        <w:t xml:space="preserve">Frequenza </w:t>
      </w:r>
      <w:r>
        <w:rPr>
          <w:i/>
          <w:color w:val="C45811"/>
          <w:sz w:val="24"/>
        </w:rPr>
        <w:t>di campionamento</w:t>
      </w:r>
    </w:p>
    <w:p w:rsidR="00A74567" w:rsidRDefault="00A74567">
      <w:pPr>
        <w:pStyle w:val="Corpodeltesto"/>
        <w:spacing w:before="10"/>
        <w:rPr>
          <w:i/>
          <w:sz w:val="19"/>
        </w:rPr>
      </w:pP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ind w:hanging="285"/>
        <w:rPr>
          <w:rFonts w:ascii="Wingdings" w:hAnsi="Wingdings"/>
          <w:sz w:val="24"/>
        </w:rPr>
      </w:pPr>
      <w:r>
        <w:rPr>
          <w:sz w:val="24"/>
        </w:rPr>
        <w:t>Bimestrale per la componente</w:t>
      </w:r>
      <w:r>
        <w:rPr>
          <w:spacing w:val="-4"/>
          <w:sz w:val="24"/>
        </w:rPr>
        <w:t xml:space="preserve"> </w:t>
      </w:r>
      <w:r>
        <w:rPr>
          <w:sz w:val="24"/>
        </w:rPr>
        <w:t>planctonica</w:t>
      </w:r>
    </w:p>
    <w:p w:rsidR="00A74567" w:rsidRDefault="00B601B9">
      <w:pPr>
        <w:pStyle w:val="Paragrafoelenco"/>
        <w:numPr>
          <w:ilvl w:val="0"/>
          <w:numId w:val="2"/>
        </w:numPr>
        <w:tabs>
          <w:tab w:val="left" w:pos="757"/>
        </w:tabs>
        <w:spacing w:line="242" w:lineRule="auto"/>
        <w:ind w:right="517"/>
        <w:rPr>
          <w:rFonts w:ascii="Wingdings" w:hAnsi="Wingdings"/>
          <w:sz w:val="24"/>
        </w:rPr>
      </w:pPr>
      <w:r>
        <w:rPr>
          <w:sz w:val="24"/>
        </w:rPr>
        <w:t>Semestrale per la componente bentonica di fondo duro rilevata tramite grattaggio e quella di fondo mobile, biannuale per la componente bentonica associata ai</w:t>
      </w:r>
      <w:r>
        <w:rPr>
          <w:spacing w:val="-19"/>
          <w:sz w:val="24"/>
        </w:rPr>
        <w:t xml:space="preserve"> </w:t>
      </w:r>
      <w:r>
        <w:rPr>
          <w:sz w:val="24"/>
        </w:rPr>
        <w:t>pannelli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spacing w:before="9"/>
        <w:rPr>
          <w:sz w:val="23"/>
        </w:rPr>
      </w:pPr>
    </w:p>
    <w:p w:rsidR="00A74567" w:rsidRDefault="00B601B9">
      <w:pPr>
        <w:ind w:left="472"/>
        <w:jc w:val="both"/>
        <w:rPr>
          <w:i/>
          <w:sz w:val="24"/>
        </w:rPr>
      </w:pPr>
      <w:r>
        <w:rPr>
          <w:i/>
          <w:color w:val="C45811"/>
          <w:sz w:val="24"/>
          <w:u w:val="single" w:color="C45811"/>
        </w:rPr>
        <w:t>Controll</w:t>
      </w:r>
      <w:r>
        <w:rPr>
          <w:i/>
          <w:color w:val="C45811"/>
          <w:sz w:val="24"/>
          <w:u w:val="single" w:color="C45811"/>
        </w:rPr>
        <w:t>o della qualità del dato</w:t>
      </w:r>
    </w:p>
    <w:p w:rsidR="00A74567" w:rsidRDefault="00A74567">
      <w:pPr>
        <w:pStyle w:val="Corpodeltesto"/>
        <w:spacing w:before="7"/>
        <w:rPr>
          <w:i/>
          <w:sz w:val="15"/>
        </w:rPr>
      </w:pPr>
    </w:p>
    <w:p w:rsidR="00A74567" w:rsidRDefault="00B601B9">
      <w:pPr>
        <w:pStyle w:val="Corpodeltesto"/>
        <w:spacing w:before="52" w:line="276" w:lineRule="auto"/>
        <w:ind w:left="472" w:right="508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monitoraggio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informativi</w:t>
      </w:r>
      <w:r>
        <w:rPr>
          <w:spacing w:val="-6"/>
        </w:rPr>
        <w:t xml:space="preserve"> </w:t>
      </w:r>
      <w:r>
        <w:t>elaborati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condivisi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soggetti attuatori che definiscono le informazioni da trasmettere in termini di formato </w:t>
      </w:r>
      <w:r>
        <w:rPr>
          <w:spacing w:val="-3"/>
        </w:rPr>
        <w:t xml:space="preserve">(testo, </w:t>
      </w:r>
      <w:r>
        <w:t xml:space="preserve">numerico, data,…), valori ammissibili secondo liste predefinite (liste di contaminanti, specie, habitat, ecc.), univocità dei codici utilizzati e relazione </w:t>
      </w:r>
      <w:r>
        <w:rPr>
          <w:spacing w:val="-3"/>
        </w:rPr>
        <w:t xml:space="preserve">tra </w:t>
      </w:r>
      <w:r>
        <w:t>oggetti (stazioni/campioni, area/sito/transetto, ecc.). Un primo livello di controllo formale de</w:t>
      </w:r>
      <w:r>
        <w:t xml:space="preserve">lla qualità del dato viene </w:t>
      </w:r>
      <w:r>
        <w:rPr>
          <w:spacing w:val="-3"/>
        </w:rPr>
        <w:t xml:space="preserve">effettuato </w:t>
      </w:r>
      <w:r>
        <w:t xml:space="preserve">in automatico sul SIC – Sistema Informativo Centralizzato in merito alla conformità dei dati forniti rispetto a quanto richiesto dallo </w:t>
      </w:r>
      <w:r>
        <w:rPr>
          <w:spacing w:val="-3"/>
        </w:rPr>
        <w:t xml:space="preserve">standard </w:t>
      </w:r>
      <w:r>
        <w:t>informativo. Un secondo livello di controllo della qualità si avvale di st</w:t>
      </w:r>
      <w:r>
        <w:t>rumenti di analisi statistica volti ad identificare eventuali valori anomali o fuori scala, rimettendo al giudizio esperto il controllo di qualità complessivo del dato. Nel secondo livello ci si avvale di criteri di valutazione condivisi con i soggetti</w:t>
      </w:r>
      <w:r>
        <w:rPr>
          <w:spacing w:val="-8"/>
        </w:rPr>
        <w:t xml:space="preserve"> </w:t>
      </w:r>
      <w:r>
        <w:t>att</w:t>
      </w:r>
      <w:r>
        <w:t>uatori.</w:t>
      </w:r>
    </w:p>
    <w:p w:rsidR="00A74567" w:rsidRDefault="00A74567">
      <w:pPr>
        <w:spacing w:line="276" w:lineRule="auto"/>
        <w:jc w:val="both"/>
        <w:sectPr w:rsidR="00A74567">
          <w:pgSz w:w="11910" w:h="16840"/>
          <w:pgMar w:top="1360" w:right="620" w:bottom="800" w:left="660" w:header="0" w:footer="488" w:gutter="0"/>
          <w:cols w:space="720"/>
        </w:sectPr>
      </w:pPr>
    </w:p>
    <w:p w:rsidR="00A74567" w:rsidRDefault="00B601B9">
      <w:pPr>
        <w:pStyle w:val="Heading2"/>
        <w:numPr>
          <w:ilvl w:val="0"/>
          <w:numId w:val="1"/>
        </w:numPr>
        <w:tabs>
          <w:tab w:val="left" w:pos="1181"/>
          <w:tab w:val="left" w:pos="1182"/>
        </w:tabs>
        <w:spacing w:before="37" w:after="3"/>
        <w:ind w:hanging="710"/>
      </w:pPr>
      <w:r>
        <w:rPr>
          <w:color w:val="006FC0"/>
        </w:rPr>
        <w:lastRenderedPageBreak/>
        <w:t>Indicatore associato al programma di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monitoraggio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95pt;height:.5pt;mso-position-horizontal-relative:char;mso-position-vertical-relative:line" coordsize="9699,10">
            <v:rect id="_x0000_s1029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5"/>
        <w:rPr>
          <w:b/>
          <w:sz w:val="18"/>
        </w:rPr>
      </w:pPr>
    </w:p>
    <w:p w:rsidR="00A74567" w:rsidRDefault="00B601B9">
      <w:pPr>
        <w:pStyle w:val="Corpodeltesto"/>
        <w:ind w:left="586"/>
      </w:pPr>
      <w:r>
        <w:t>Numero di specie non indigene di nuova introduzione in aree associate ai principali vettori di introduzione</w:t>
      </w:r>
    </w:p>
    <w:p w:rsidR="00A74567" w:rsidRDefault="00A74567">
      <w:pPr>
        <w:pStyle w:val="Corpodeltesto"/>
      </w:pPr>
    </w:p>
    <w:p w:rsidR="00A74567" w:rsidRDefault="00A74567">
      <w:pPr>
        <w:pStyle w:val="Corpodeltesto"/>
        <w:rPr>
          <w:sz w:val="29"/>
        </w:rPr>
      </w:pPr>
    </w:p>
    <w:p w:rsidR="00A74567" w:rsidRDefault="00B601B9">
      <w:pPr>
        <w:pStyle w:val="Heading2"/>
        <w:numPr>
          <w:ilvl w:val="0"/>
          <w:numId w:val="1"/>
        </w:numPr>
        <w:tabs>
          <w:tab w:val="left" w:pos="1181"/>
          <w:tab w:val="left" w:pos="1182"/>
        </w:tabs>
        <w:spacing w:before="1"/>
        <w:ind w:hanging="710"/>
      </w:pPr>
      <w:r>
        <w:rPr>
          <w:color w:val="006FC0"/>
        </w:rPr>
        <w:t>Accesso ai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dati</w:t>
      </w:r>
    </w:p>
    <w:p w:rsidR="00A74567" w:rsidRDefault="00A74567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5pt;height:.5pt;mso-position-horizontal-relative:char;mso-position-vertical-relative:line" coordsize="9699,10">
            <v:rect id="_x0000_s1027" style="position:absolute;width:9699;height:10" fillcolor="#006fc0" stroked="f"/>
            <w10:wrap type="none"/>
            <w10:anchorlock/>
          </v:group>
        </w:pict>
      </w:r>
    </w:p>
    <w:p w:rsidR="00A74567" w:rsidRDefault="00A74567">
      <w:pPr>
        <w:pStyle w:val="Corpodeltesto"/>
        <w:rPr>
          <w:b/>
          <w:sz w:val="20"/>
        </w:rPr>
      </w:pPr>
    </w:p>
    <w:p w:rsidR="00A74567" w:rsidRDefault="00A74567">
      <w:pPr>
        <w:pStyle w:val="Corpodeltesto"/>
        <w:spacing w:before="5"/>
        <w:rPr>
          <w:b/>
          <w:sz w:val="18"/>
        </w:rPr>
      </w:pPr>
    </w:p>
    <w:p w:rsidR="00A74567" w:rsidRDefault="00A74567">
      <w:pPr>
        <w:pStyle w:val="Corpodeltesto"/>
        <w:ind w:left="472"/>
      </w:pPr>
      <w:hyperlink r:id="rId11">
        <w:r w:rsidR="00B601B9">
          <w:t>http://www.db-strategiamarina.isprambiente.it/app/#/</w:t>
        </w:r>
      </w:hyperlink>
    </w:p>
    <w:sectPr w:rsidR="00A74567" w:rsidSect="00A74567">
      <w:pgSz w:w="11910" w:h="16840"/>
      <w:pgMar w:top="1360" w:right="620" w:bottom="800" w:left="660" w:header="0" w:footer="4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B9" w:rsidRDefault="00B601B9" w:rsidP="00A74567">
      <w:r>
        <w:separator/>
      </w:r>
    </w:p>
  </w:endnote>
  <w:endnote w:type="continuationSeparator" w:id="0">
    <w:p w:rsidR="00B601B9" w:rsidRDefault="00B601B9" w:rsidP="00A7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67" w:rsidRDefault="00A74567">
    <w:pPr>
      <w:pStyle w:val="Corpodeltesto"/>
      <w:spacing w:line="14" w:lineRule="auto"/>
      <w:rPr>
        <w:sz w:val="20"/>
      </w:rPr>
    </w:pPr>
    <w:r w:rsidRPr="00A74567">
      <w:pict>
        <v:polyline id="_x0000_s2050" style="position:absolute;z-index:-15983104;mso-position-horizontal-relative:page;mso-position-vertical-relative:page" points="1098.55pt,1643.95pt,1096.1pt,1641.85pt,1093.85pt,1639.3pt,1092.05pt,1636.4pt,1090.75pt,1633.2pt,1089.9pt,1629.8pt,1089.6pt,1626.2pt,1089.9pt,1622.65pt,1090.75pt,1619.25pt,1092.05pt,1616.05pt,1093.85pt,1613.15pt,1096.1pt,1610.6pt,1098.65pt,1608.35pt,1101.55pt,1606.55pt,1104.75pt,1605.25pt,1108.15pt,1604.4pt,1111.7pt,1604.1pt,1115.3pt,1604.4pt,1118.7pt,1605.25pt,1121.9pt,1606.55pt,1124.8pt,1608.35pt,1127.35pt,1610.6pt,1129.6pt,1613.15pt,1131.4pt,1616.05pt,1132.7pt,1619.25pt,1133.55pt,1622.65pt,1133.85pt,1626.2pt,1133.55pt,1629.8pt,1132.7pt,1633.2pt,1131.4pt,1636.4pt,1129.6pt,1639.3pt,1127.35pt,1641.85pt,1124.9pt,1643.95pt" coordorigin="10896,16041" coordsize="885,798" filled="f" strokecolor="#a7bede" strokeweight="1pt">
          <v:path arrowok="t"/>
          <w10:wrap anchorx="page" anchory="page"/>
        </v:polyline>
      </w:pict>
    </w:r>
    <w:r w:rsidRPr="00A745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818.7pt;width:11.6pt;height:13.05pt;z-index:-15982592;mso-position-horizontal-relative:page;mso-position-vertical-relative:page" filled="f" stroked="f">
          <v:textbox inset="0,0,0,0">
            <w:txbxContent>
              <w:p w:rsidR="00A74567" w:rsidRDefault="00A74567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B601B9">
                  <w:rPr>
                    <w:color w:val="4F81BC"/>
                  </w:rPr>
                  <w:instrText xml:space="preserve"> PAGE </w:instrText>
                </w:r>
                <w:r>
                  <w:fldChar w:fldCharType="separate"/>
                </w:r>
                <w:r w:rsidR="003701E4">
                  <w:rPr>
                    <w:noProof/>
                    <w:color w:val="4F81BC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B9" w:rsidRDefault="00B601B9" w:rsidP="00A74567">
      <w:r>
        <w:separator/>
      </w:r>
    </w:p>
  </w:footnote>
  <w:footnote w:type="continuationSeparator" w:id="0">
    <w:p w:rsidR="00B601B9" w:rsidRDefault="00B601B9" w:rsidP="00A7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142"/>
    <w:multiLevelType w:val="hybridMultilevel"/>
    <w:tmpl w:val="E396B02E"/>
    <w:lvl w:ilvl="0" w:tplc="5C92A57E">
      <w:start w:val="1"/>
      <w:numFmt w:val="decimal"/>
      <w:lvlText w:val="%1."/>
      <w:lvlJc w:val="left"/>
      <w:pPr>
        <w:ind w:left="85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95A52AC">
      <w:numFmt w:val="bullet"/>
      <w:lvlText w:val="•"/>
      <w:lvlJc w:val="left"/>
      <w:pPr>
        <w:ind w:left="1836" w:hanging="243"/>
      </w:pPr>
      <w:rPr>
        <w:rFonts w:hint="default"/>
        <w:lang w:val="it-IT" w:eastAsia="en-US" w:bidi="ar-SA"/>
      </w:rPr>
    </w:lvl>
    <w:lvl w:ilvl="2" w:tplc="0F86C9E4">
      <w:numFmt w:val="bullet"/>
      <w:lvlText w:val="•"/>
      <w:lvlJc w:val="left"/>
      <w:pPr>
        <w:ind w:left="2813" w:hanging="243"/>
      </w:pPr>
      <w:rPr>
        <w:rFonts w:hint="default"/>
        <w:lang w:val="it-IT" w:eastAsia="en-US" w:bidi="ar-SA"/>
      </w:rPr>
    </w:lvl>
    <w:lvl w:ilvl="3" w:tplc="E8325D48">
      <w:numFmt w:val="bullet"/>
      <w:lvlText w:val="•"/>
      <w:lvlJc w:val="left"/>
      <w:pPr>
        <w:ind w:left="3789" w:hanging="243"/>
      </w:pPr>
      <w:rPr>
        <w:rFonts w:hint="default"/>
        <w:lang w:val="it-IT" w:eastAsia="en-US" w:bidi="ar-SA"/>
      </w:rPr>
    </w:lvl>
    <w:lvl w:ilvl="4" w:tplc="242051E8">
      <w:numFmt w:val="bullet"/>
      <w:lvlText w:val="•"/>
      <w:lvlJc w:val="left"/>
      <w:pPr>
        <w:ind w:left="4766" w:hanging="243"/>
      </w:pPr>
      <w:rPr>
        <w:rFonts w:hint="default"/>
        <w:lang w:val="it-IT" w:eastAsia="en-US" w:bidi="ar-SA"/>
      </w:rPr>
    </w:lvl>
    <w:lvl w:ilvl="5" w:tplc="9DA8C644">
      <w:numFmt w:val="bullet"/>
      <w:lvlText w:val="•"/>
      <w:lvlJc w:val="left"/>
      <w:pPr>
        <w:ind w:left="5743" w:hanging="243"/>
      </w:pPr>
      <w:rPr>
        <w:rFonts w:hint="default"/>
        <w:lang w:val="it-IT" w:eastAsia="en-US" w:bidi="ar-SA"/>
      </w:rPr>
    </w:lvl>
    <w:lvl w:ilvl="6" w:tplc="BC0A69E0">
      <w:numFmt w:val="bullet"/>
      <w:lvlText w:val="•"/>
      <w:lvlJc w:val="left"/>
      <w:pPr>
        <w:ind w:left="6719" w:hanging="243"/>
      </w:pPr>
      <w:rPr>
        <w:rFonts w:hint="default"/>
        <w:lang w:val="it-IT" w:eastAsia="en-US" w:bidi="ar-SA"/>
      </w:rPr>
    </w:lvl>
    <w:lvl w:ilvl="7" w:tplc="36BC50EE">
      <w:numFmt w:val="bullet"/>
      <w:lvlText w:val="•"/>
      <w:lvlJc w:val="left"/>
      <w:pPr>
        <w:ind w:left="7696" w:hanging="243"/>
      </w:pPr>
      <w:rPr>
        <w:rFonts w:hint="default"/>
        <w:lang w:val="it-IT" w:eastAsia="en-US" w:bidi="ar-SA"/>
      </w:rPr>
    </w:lvl>
    <w:lvl w:ilvl="8" w:tplc="3AA662D2">
      <w:numFmt w:val="bullet"/>
      <w:lvlText w:val="•"/>
      <w:lvlJc w:val="left"/>
      <w:pPr>
        <w:ind w:left="8673" w:hanging="243"/>
      </w:pPr>
      <w:rPr>
        <w:rFonts w:hint="default"/>
        <w:lang w:val="it-IT" w:eastAsia="en-US" w:bidi="ar-SA"/>
      </w:rPr>
    </w:lvl>
  </w:abstractNum>
  <w:abstractNum w:abstractNumId="1">
    <w:nsid w:val="0FB661D6"/>
    <w:multiLevelType w:val="hybridMultilevel"/>
    <w:tmpl w:val="22A8CC96"/>
    <w:lvl w:ilvl="0" w:tplc="29ECBB8C">
      <w:numFmt w:val="bullet"/>
      <w:lvlText w:val=""/>
      <w:lvlJc w:val="left"/>
      <w:pPr>
        <w:ind w:left="756" w:hanging="284"/>
      </w:pPr>
      <w:rPr>
        <w:rFonts w:hint="default"/>
        <w:w w:val="100"/>
        <w:lang w:val="it-IT" w:eastAsia="en-US" w:bidi="ar-SA"/>
      </w:rPr>
    </w:lvl>
    <w:lvl w:ilvl="1" w:tplc="62DC1196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4BABA6E">
      <w:numFmt w:val="bullet"/>
      <w:lvlText w:val="•"/>
      <w:lvlJc w:val="left"/>
      <w:pPr>
        <w:ind w:left="2733" w:hanging="284"/>
      </w:pPr>
      <w:rPr>
        <w:rFonts w:hint="default"/>
        <w:lang w:val="it-IT" w:eastAsia="en-US" w:bidi="ar-SA"/>
      </w:rPr>
    </w:lvl>
    <w:lvl w:ilvl="3" w:tplc="91308CAE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CE080B8">
      <w:numFmt w:val="bullet"/>
      <w:lvlText w:val="•"/>
      <w:lvlJc w:val="left"/>
      <w:pPr>
        <w:ind w:left="4706" w:hanging="284"/>
      </w:pPr>
      <w:rPr>
        <w:rFonts w:hint="default"/>
        <w:lang w:val="it-IT" w:eastAsia="en-US" w:bidi="ar-SA"/>
      </w:rPr>
    </w:lvl>
    <w:lvl w:ilvl="5" w:tplc="A6A6CB24">
      <w:numFmt w:val="bullet"/>
      <w:lvlText w:val="•"/>
      <w:lvlJc w:val="left"/>
      <w:pPr>
        <w:ind w:left="5693" w:hanging="284"/>
      </w:pPr>
      <w:rPr>
        <w:rFonts w:hint="default"/>
        <w:lang w:val="it-IT" w:eastAsia="en-US" w:bidi="ar-SA"/>
      </w:rPr>
    </w:lvl>
    <w:lvl w:ilvl="6" w:tplc="ADB6C042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25E04F2E">
      <w:numFmt w:val="bullet"/>
      <w:lvlText w:val="•"/>
      <w:lvlJc w:val="left"/>
      <w:pPr>
        <w:ind w:left="7666" w:hanging="284"/>
      </w:pPr>
      <w:rPr>
        <w:rFonts w:hint="default"/>
        <w:lang w:val="it-IT" w:eastAsia="en-US" w:bidi="ar-SA"/>
      </w:rPr>
    </w:lvl>
    <w:lvl w:ilvl="8" w:tplc="EA3C9456">
      <w:numFmt w:val="bullet"/>
      <w:lvlText w:val="•"/>
      <w:lvlJc w:val="left"/>
      <w:pPr>
        <w:ind w:left="8653" w:hanging="284"/>
      </w:pPr>
      <w:rPr>
        <w:rFonts w:hint="default"/>
        <w:lang w:val="it-IT" w:eastAsia="en-US" w:bidi="ar-SA"/>
      </w:rPr>
    </w:lvl>
  </w:abstractNum>
  <w:abstractNum w:abstractNumId="2">
    <w:nsid w:val="12D24011"/>
    <w:multiLevelType w:val="hybridMultilevel"/>
    <w:tmpl w:val="168C69DA"/>
    <w:lvl w:ilvl="0" w:tplc="43EC01C4">
      <w:numFmt w:val="bullet"/>
      <w:lvlText w:val=""/>
      <w:lvlJc w:val="left"/>
      <w:pPr>
        <w:ind w:left="472" w:hanging="70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56B7D0">
      <w:numFmt w:val="bullet"/>
      <w:lvlText w:val="•"/>
      <w:lvlJc w:val="left"/>
      <w:pPr>
        <w:ind w:left="1494" w:hanging="709"/>
      </w:pPr>
      <w:rPr>
        <w:rFonts w:hint="default"/>
        <w:lang w:val="it-IT" w:eastAsia="en-US" w:bidi="ar-SA"/>
      </w:rPr>
    </w:lvl>
    <w:lvl w:ilvl="2" w:tplc="1BF60A38">
      <w:numFmt w:val="bullet"/>
      <w:lvlText w:val="•"/>
      <w:lvlJc w:val="left"/>
      <w:pPr>
        <w:ind w:left="2509" w:hanging="709"/>
      </w:pPr>
      <w:rPr>
        <w:rFonts w:hint="default"/>
        <w:lang w:val="it-IT" w:eastAsia="en-US" w:bidi="ar-SA"/>
      </w:rPr>
    </w:lvl>
    <w:lvl w:ilvl="3" w:tplc="4A0C3FF4">
      <w:numFmt w:val="bullet"/>
      <w:lvlText w:val="•"/>
      <w:lvlJc w:val="left"/>
      <w:pPr>
        <w:ind w:left="3523" w:hanging="709"/>
      </w:pPr>
      <w:rPr>
        <w:rFonts w:hint="default"/>
        <w:lang w:val="it-IT" w:eastAsia="en-US" w:bidi="ar-SA"/>
      </w:rPr>
    </w:lvl>
    <w:lvl w:ilvl="4" w:tplc="F44A5512">
      <w:numFmt w:val="bullet"/>
      <w:lvlText w:val="•"/>
      <w:lvlJc w:val="left"/>
      <w:pPr>
        <w:ind w:left="4538" w:hanging="709"/>
      </w:pPr>
      <w:rPr>
        <w:rFonts w:hint="default"/>
        <w:lang w:val="it-IT" w:eastAsia="en-US" w:bidi="ar-SA"/>
      </w:rPr>
    </w:lvl>
    <w:lvl w:ilvl="5" w:tplc="195AE22E">
      <w:numFmt w:val="bullet"/>
      <w:lvlText w:val="•"/>
      <w:lvlJc w:val="left"/>
      <w:pPr>
        <w:ind w:left="5553" w:hanging="709"/>
      </w:pPr>
      <w:rPr>
        <w:rFonts w:hint="default"/>
        <w:lang w:val="it-IT" w:eastAsia="en-US" w:bidi="ar-SA"/>
      </w:rPr>
    </w:lvl>
    <w:lvl w:ilvl="6" w:tplc="A336C37A">
      <w:numFmt w:val="bullet"/>
      <w:lvlText w:val="•"/>
      <w:lvlJc w:val="left"/>
      <w:pPr>
        <w:ind w:left="6567" w:hanging="709"/>
      </w:pPr>
      <w:rPr>
        <w:rFonts w:hint="default"/>
        <w:lang w:val="it-IT" w:eastAsia="en-US" w:bidi="ar-SA"/>
      </w:rPr>
    </w:lvl>
    <w:lvl w:ilvl="7" w:tplc="D4E05780">
      <w:numFmt w:val="bullet"/>
      <w:lvlText w:val="•"/>
      <w:lvlJc w:val="left"/>
      <w:pPr>
        <w:ind w:left="7582" w:hanging="709"/>
      </w:pPr>
      <w:rPr>
        <w:rFonts w:hint="default"/>
        <w:lang w:val="it-IT" w:eastAsia="en-US" w:bidi="ar-SA"/>
      </w:rPr>
    </w:lvl>
    <w:lvl w:ilvl="8" w:tplc="5BAEBA4E">
      <w:numFmt w:val="bullet"/>
      <w:lvlText w:val="•"/>
      <w:lvlJc w:val="left"/>
      <w:pPr>
        <w:ind w:left="8597" w:hanging="709"/>
      </w:pPr>
      <w:rPr>
        <w:rFonts w:hint="default"/>
        <w:lang w:val="it-IT" w:eastAsia="en-US" w:bidi="ar-SA"/>
      </w:rPr>
    </w:lvl>
  </w:abstractNum>
  <w:abstractNum w:abstractNumId="3">
    <w:nsid w:val="16BA0A1A"/>
    <w:multiLevelType w:val="hybridMultilevel"/>
    <w:tmpl w:val="B096F162"/>
    <w:lvl w:ilvl="0" w:tplc="CD7A4838">
      <w:start w:val="10"/>
      <w:numFmt w:val="decimal"/>
      <w:lvlText w:val="%1"/>
      <w:lvlJc w:val="left"/>
      <w:pPr>
        <w:ind w:left="1181" w:hanging="709"/>
        <w:jc w:val="lef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4"/>
        <w:szCs w:val="24"/>
        <w:lang w:val="it-IT" w:eastAsia="en-US" w:bidi="ar-SA"/>
      </w:rPr>
    </w:lvl>
    <w:lvl w:ilvl="1" w:tplc="15642066">
      <w:numFmt w:val="bullet"/>
      <w:lvlText w:val="•"/>
      <w:lvlJc w:val="left"/>
      <w:pPr>
        <w:ind w:left="2124" w:hanging="709"/>
      </w:pPr>
      <w:rPr>
        <w:rFonts w:hint="default"/>
        <w:lang w:val="it-IT" w:eastAsia="en-US" w:bidi="ar-SA"/>
      </w:rPr>
    </w:lvl>
    <w:lvl w:ilvl="2" w:tplc="749E758A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3" w:tplc="CCC42F1A">
      <w:numFmt w:val="bullet"/>
      <w:lvlText w:val="•"/>
      <w:lvlJc w:val="left"/>
      <w:pPr>
        <w:ind w:left="4013" w:hanging="709"/>
      </w:pPr>
      <w:rPr>
        <w:rFonts w:hint="default"/>
        <w:lang w:val="it-IT" w:eastAsia="en-US" w:bidi="ar-SA"/>
      </w:rPr>
    </w:lvl>
    <w:lvl w:ilvl="4" w:tplc="564AB0B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EBDABEFC">
      <w:numFmt w:val="bullet"/>
      <w:lvlText w:val="•"/>
      <w:lvlJc w:val="left"/>
      <w:pPr>
        <w:ind w:left="5903" w:hanging="709"/>
      </w:pPr>
      <w:rPr>
        <w:rFonts w:hint="default"/>
        <w:lang w:val="it-IT" w:eastAsia="en-US" w:bidi="ar-SA"/>
      </w:rPr>
    </w:lvl>
    <w:lvl w:ilvl="6" w:tplc="43C419A0">
      <w:numFmt w:val="bullet"/>
      <w:lvlText w:val="•"/>
      <w:lvlJc w:val="left"/>
      <w:pPr>
        <w:ind w:left="6847" w:hanging="709"/>
      </w:pPr>
      <w:rPr>
        <w:rFonts w:hint="default"/>
        <w:lang w:val="it-IT" w:eastAsia="en-US" w:bidi="ar-SA"/>
      </w:rPr>
    </w:lvl>
    <w:lvl w:ilvl="7" w:tplc="63286A36">
      <w:numFmt w:val="bullet"/>
      <w:lvlText w:val="•"/>
      <w:lvlJc w:val="left"/>
      <w:pPr>
        <w:ind w:left="7792" w:hanging="709"/>
      </w:pPr>
      <w:rPr>
        <w:rFonts w:hint="default"/>
        <w:lang w:val="it-IT" w:eastAsia="en-US" w:bidi="ar-SA"/>
      </w:rPr>
    </w:lvl>
    <w:lvl w:ilvl="8" w:tplc="EFB48C40">
      <w:numFmt w:val="bullet"/>
      <w:lvlText w:val="•"/>
      <w:lvlJc w:val="left"/>
      <w:pPr>
        <w:ind w:left="8737" w:hanging="709"/>
      </w:pPr>
      <w:rPr>
        <w:rFonts w:hint="default"/>
        <w:lang w:val="it-IT" w:eastAsia="en-US" w:bidi="ar-SA"/>
      </w:rPr>
    </w:lvl>
  </w:abstractNum>
  <w:abstractNum w:abstractNumId="4">
    <w:nsid w:val="38E72D2E"/>
    <w:multiLevelType w:val="hybridMultilevel"/>
    <w:tmpl w:val="17989ABE"/>
    <w:lvl w:ilvl="0" w:tplc="F6A49CD0">
      <w:start w:val="1"/>
      <w:numFmt w:val="decimal"/>
      <w:lvlText w:val="%1."/>
      <w:lvlJc w:val="left"/>
      <w:pPr>
        <w:ind w:left="1181" w:hanging="709"/>
        <w:jc w:val="left"/>
      </w:pPr>
      <w:rPr>
        <w:rFonts w:ascii="Calibri" w:eastAsia="Calibri" w:hAnsi="Calibri" w:cs="Calibri" w:hint="default"/>
        <w:b/>
        <w:bCs/>
        <w:color w:val="001F5F"/>
        <w:spacing w:val="-5"/>
        <w:w w:val="100"/>
        <w:sz w:val="24"/>
        <w:szCs w:val="24"/>
        <w:lang w:val="it-IT" w:eastAsia="en-US" w:bidi="ar-SA"/>
      </w:rPr>
    </w:lvl>
    <w:lvl w:ilvl="1" w:tplc="62ACD806">
      <w:numFmt w:val="bullet"/>
      <w:lvlText w:val=""/>
      <w:lvlJc w:val="left"/>
      <w:pPr>
        <w:ind w:left="586" w:hanging="59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792494A">
      <w:numFmt w:val="bullet"/>
      <w:lvlText w:val="•"/>
      <w:lvlJc w:val="left"/>
      <w:pPr>
        <w:ind w:left="2229" w:hanging="596"/>
      </w:pPr>
      <w:rPr>
        <w:rFonts w:hint="default"/>
        <w:lang w:val="it-IT" w:eastAsia="en-US" w:bidi="ar-SA"/>
      </w:rPr>
    </w:lvl>
    <w:lvl w:ilvl="3" w:tplc="F2B46544">
      <w:numFmt w:val="bullet"/>
      <w:lvlText w:val="•"/>
      <w:lvlJc w:val="left"/>
      <w:pPr>
        <w:ind w:left="3279" w:hanging="596"/>
      </w:pPr>
      <w:rPr>
        <w:rFonts w:hint="default"/>
        <w:lang w:val="it-IT" w:eastAsia="en-US" w:bidi="ar-SA"/>
      </w:rPr>
    </w:lvl>
    <w:lvl w:ilvl="4" w:tplc="4CBAF450">
      <w:numFmt w:val="bullet"/>
      <w:lvlText w:val="•"/>
      <w:lvlJc w:val="left"/>
      <w:pPr>
        <w:ind w:left="4328" w:hanging="596"/>
      </w:pPr>
      <w:rPr>
        <w:rFonts w:hint="default"/>
        <w:lang w:val="it-IT" w:eastAsia="en-US" w:bidi="ar-SA"/>
      </w:rPr>
    </w:lvl>
    <w:lvl w:ilvl="5" w:tplc="34DE7CA8">
      <w:numFmt w:val="bullet"/>
      <w:lvlText w:val="•"/>
      <w:lvlJc w:val="left"/>
      <w:pPr>
        <w:ind w:left="5378" w:hanging="596"/>
      </w:pPr>
      <w:rPr>
        <w:rFonts w:hint="default"/>
        <w:lang w:val="it-IT" w:eastAsia="en-US" w:bidi="ar-SA"/>
      </w:rPr>
    </w:lvl>
    <w:lvl w:ilvl="6" w:tplc="C3B6946E">
      <w:numFmt w:val="bullet"/>
      <w:lvlText w:val="•"/>
      <w:lvlJc w:val="left"/>
      <w:pPr>
        <w:ind w:left="6428" w:hanging="596"/>
      </w:pPr>
      <w:rPr>
        <w:rFonts w:hint="default"/>
        <w:lang w:val="it-IT" w:eastAsia="en-US" w:bidi="ar-SA"/>
      </w:rPr>
    </w:lvl>
    <w:lvl w:ilvl="7" w:tplc="E11ED762">
      <w:numFmt w:val="bullet"/>
      <w:lvlText w:val="•"/>
      <w:lvlJc w:val="left"/>
      <w:pPr>
        <w:ind w:left="7477" w:hanging="596"/>
      </w:pPr>
      <w:rPr>
        <w:rFonts w:hint="default"/>
        <w:lang w:val="it-IT" w:eastAsia="en-US" w:bidi="ar-SA"/>
      </w:rPr>
    </w:lvl>
    <w:lvl w:ilvl="8" w:tplc="7EC4BDF6">
      <w:numFmt w:val="bullet"/>
      <w:lvlText w:val="•"/>
      <w:lvlJc w:val="left"/>
      <w:pPr>
        <w:ind w:left="8527" w:hanging="596"/>
      </w:pPr>
      <w:rPr>
        <w:rFonts w:hint="default"/>
        <w:lang w:val="it-IT" w:eastAsia="en-US" w:bidi="ar-SA"/>
      </w:rPr>
    </w:lvl>
  </w:abstractNum>
  <w:abstractNum w:abstractNumId="5">
    <w:nsid w:val="6A591511"/>
    <w:multiLevelType w:val="hybridMultilevel"/>
    <w:tmpl w:val="D8D85780"/>
    <w:lvl w:ilvl="0" w:tplc="37947866">
      <w:start w:val="1"/>
      <w:numFmt w:val="decimal"/>
      <w:lvlText w:val="%1."/>
      <w:lvlJc w:val="left"/>
      <w:pPr>
        <w:ind w:left="1181" w:hanging="709"/>
        <w:jc w:val="right"/>
      </w:pPr>
      <w:rPr>
        <w:rFonts w:ascii="Calibri" w:eastAsia="Calibri" w:hAnsi="Calibri" w:cs="Calibri" w:hint="default"/>
        <w:b/>
        <w:bCs/>
        <w:color w:val="006FC0"/>
        <w:spacing w:val="-4"/>
        <w:w w:val="100"/>
        <w:sz w:val="24"/>
        <w:szCs w:val="24"/>
        <w:lang w:val="it-IT" w:eastAsia="en-US" w:bidi="ar-SA"/>
      </w:rPr>
    </w:lvl>
    <w:lvl w:ilvl="1" w:tplc="53264F02">
      <w:numFmt w:val="bullet"/>
      <w:lvlText w:val="•"/>
      <w:lvlJc w:val="left"/>
      <w:pPr>
        <w:ind w:left="2124" w:hanging="709"/>
      </w:pPr>
      <w:rPr>
        <w:rFonts w:hint="default"/>
        <w:lang w:val="it-IT" w:eastAsia="en-US" w:bidi="ar-SA"/>
      </w:rPr>
    </w:lvl>
    <w:lvl w:ilvl="2" w:tplc="5C662AB8">
      <w:numFmt w:val="bullet"/>
      <w:lvlText w:val="•"/>
      <w:lvlJc w:val="left"/>
      <w:pPr>
        <w:ind w:left="3069" w:hanging="709"/>
      </w:pPr>
      <w:rPr>
        <w:rFonts w:hint="default"/>
        <w:lang w:val="it-IT" w:eastAsia="en-US" w:bidi="ar-SA"/>
      </w:rPr>
    </w:lvl>
    <w:lvl w:ilvl="3" w:tplc="535EB91E">
      <w:numFmt w:val="bullet"/>
      <w:lvlText w:val="•"/>
      <w:lvlJc w:val="left"/>
      <w:pPr>
        <w:ind w:left="4013" w:hanging="709"/>
      </w:pPr>
      <w:rPr>
        <w:rFonts w:hint="default"/>
        <w:lang w:val="it-IT" w:eastAsia="en-US" w:bidi="ar-SA"/>
      </w:rPr>
    </w:lvl>
    <w:lvl w:ilvl="4" w:tplc="287CA054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2F0EB94C">
      <w:numFmt w:val="bullet"/>
      <w:lvlText w:val="•"/>
      <w:lvlJc w:val="left"/>
      <w:pPr>
        <w:ind w:left="5903" w:hanging="709"/>
      </w:pPr>
      <w:rPr>
        <w:rFonts w:hint="default"/>
        <w:lang w:val="it-IT" w:eastAsia="en-US" w:bidi="ar-SA"/>
      </w:rPr>
    </w:lvl>
    <w:lvl w:ilvl="6" w:tplc="1E6C8C4E">
      <w:numFmt w:val="bullet"/>
      <w:lvlText w:val="•"/>
      <w:lvlJc w:val="left"/>
      <w:pPr>
        <w:ind w:left="6847" w:hanging="709"/>
      </w:pPr>
      <w:rPr>
        <w:rFonts w:hint="default"/>
        <w:lang w:val="it-IT" w:eastAsia="en-US" w:bidi="ar-SA"/>
      </w:rPr>
    </w:lvl>
    <w:lvl w:ilvl="7" w:tplc="016E311A">
      <w:numFmt w:val="bullet"/>
      <w:lvlText w:val="•"/>
      <w:lvlJc w:val="left"/>
      <w:pPr>
        <w:ind w:left="7792" w:hanging="709"/>
      </w:pPr>
      <w:rPr>
        <w:rFonts w:hint="default"/>
        <w:lang w:val="it-IT" w:eastAsia="en-US" w:bidi="ar-SA"/>
      </w:rPr>
    </w:lvl>
    <w:lvl w:ilvl="8" w:tplc="2D5A2128">
      <w:numFmt w:val="bullet"/>
      <w:lvlText w:val="•"/>
      <w:lvlJc w:val="left"/>
      <w:pPr>
        <w:ind w:left="8737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4567"/>
    <w:rsid w:val="003701E4"/>
    <w:rsid w:val="00A74567"/>
    <w:rsid w:val="00B6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456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A74567"/>
    <w:pPr>
      <w:spacing w:before="163"/>
      <w:ind w:left="472"/>
    </w:pPr>
    <w:rPr>
      <w:b/>
      <w:bCs/>
      <w:sz w:val="24"/>
      <w:szCs w:val="24"/>
    </w:rPr>
  </w:style>
  <w:style w:type="paragraph" w:customStyle="1" w:styleId="TOC2">
    <w:name w:val="TOC 2"/>
    <w:basedOn w:val="Normale"/>
    <w:uiPriority w:val="1"/>
    <w:qFormat/>
    <w:rsid w:val="00A74567"/>
    <w:pPr>
      <w:spacing w:before="165"/>
      <w:ind w:left="857" w:hanging="244"/>
    </w:pPr>
    <w:rPr>
      <w:b/>
      <w:bCs/>
      <w:sz w:val="24"/>
      <w:szCs w:val="24"/>
    </w:rPr>
  </w:style>
  <w:style w:type="paragraph" w:styleId="Corpodeltesto">
    <w:name w:val="Body Text"/>
    <w:basedOn w:val="Normale"/>
    <w:uiPriority w:val="1"/>
    <w:qFormat/>
    <w:rsid w:val="00A7456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74567"/>
    <w:pPr>
      <w:spacing w:before="1"/>
      <w:ind w:left="835" w:right="877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Normale"/>
    <w:uiPriority w:val="1"/>
    <w:qFormat/>
    <w:rsid w:val="00A74567"/>
    <w:pPr>
      <w:ind w:left="1181" w:hanging="7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74567"/>
    <w:pPr>
      <w:ind w:left="1181" w:hanging="710"/>
    </w:pPr>
  </w:style>
  <w:style w:type="paragraph" w:customStyle="1" w:styleId="TableParagraph">
    <w:name w:val="Table Paragraph"/>
    <w:basedOn w:val="Normale"/>
    <w:uiPriority w:val="1"/>
    <w:qFormat/>
    <w:rsid w:val="00A74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1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1E4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-strategiamarina.isprambiente.it/app/%23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11936</Characters>
  <Application>Microsoft Office Word</Application>
  <DocSecurity>0</DocSecurity>
  <Lines>99</Lines>
  <Paragraphs>28</Paragraphs>
  <ScaleCrop>false</ScaleCrop>
  <Company>HP Inc.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Magaletti</dc:creator>
  <cp:lastModifiedBy>Ceciali Silvestri</cp:lastModifiedBy>
  <cp:revision>2</cp:revision>
  <dcterms:created xsi:type="dcterms:W3CDTF">2020-10-01T10:06:00Z</dcterms:created>
  <dcterms:modified xsi:type="dcterms:W3CDTF">2020-10-01T10:06:00Z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