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2062E" w14:textId="77777777" w:rsidR="0064767E" w:rsidRDefault="00660FBA" w:rsidP="0064767E">
      <w:pPr>
        <w:jc w:val="both"/>
      </w:pPr>
      <w:r>
        <w:t xml:space="preserve">Valutazione della Frammentazione del territorio </w:t>
      </w:r>
      <w:proofErr w:type="gramStart"/>
      <w:r>
        <w:t>attraverso  l</w:t>
      </w:r>
      <w:r w:rsidRPr="00660FBA">
        <w:t>’indice</w:t>
      </w:r>
      <w:proofErr w:type="gramEnd"/>
      <w:r w:rsidRPr="00660FBA">
        <w:t xml:space="preserve"> </w:t>
      </w:r>
      <w:r>
        <w:t>“</w:t>
      </w:r>
      <w:proofErr w:type="spellStart"/>
      <w:r w:rsidRPr="00660FBA">
        <w:rPr>
          <w:i/>
        </w:rPr>
        <w:t>effective</w:t>
      </w:r>
      <w:proofErr w:type="spellEnd"/>
      <w:r w:rsidRPr="00660FBA">
        <w:rPr>
          <w:i/>
        </w:rPr>
        <w:t xml:space="preserve"> mesh-</w:t>
      </w:r>
      <w:proofErr w:type="spellStart"/>
      <w:r w:rsidRPr="00660FBA">
        <w:rPr>
          <w:i/>
        </w:rPr>
        <w:t>density</w:t>
      </w:r>
      <w:proofErr w:type="spellEnd"/>
      <w:r w:rsidRPr="00660FBA">
        <w:rPr>
          <w:i/>
        </w:rPr>
        <w:t xml:space="preserve"> (</w:t>
      </w:r>
      <w:proofErr w:type="spellStart"/>
      <w:r w:rsidRPr="00660FBA">
        <w:rPr>
          <w:i/>
        </w:rPr>
        <w:t>Seff</w:t>
      </w:r>
      <w:proofErr w:type="spellEnd"/>
      <w:r w:rsidRPr="00660FBA">
        <w:rPr>
          <w:i/>
        </w:rPr>
        <w:t>)</w:t>
      </w:r>
      <w:r>
        <w:t>”.</w:t>
      </w:r>
    </w:p>
    <w:p w14:paraId="35941A8F" w14:textId="77777777" w:rsidR="0064767E" w:rsidRDefault="0064767E" w:rsidP="00DF1102">
      <w:pPr>
        <w:jc w:val="both"/>
      </w:pPr>
      <w:r>
        <w:t xml:space="preserve">L’indice </w:t>
      </w:r>
      <w:r w:rsidRPr="0064767E">
        <w:t>rappresenta la densità delle patch territoriali (</w:t>
      </w:r>
      <w:r w:rsidR="008B6393">
        <w:t>n°</w:t>
      </w:r>
      <w:r w:rsidRPr="0064767E">
        <w:t xml:space="preserve"> di mesh</w:t>
      </w:r>
      <w:r w:rsidR="008B6393">
        <w:t>es</w:t>
      </w:r>
      <w:r w:rsidRPr="0064767E">
        <w:t xml:space="preserve"> per 1.000 km</w:t>
      </w:r>
      <w:r w:rsidRPr="0064767E">
        <w:rPr>
          <w:vertAlign w:val="superscript"/>
        </w:rPr>
        <w:t>2</w:t>
      </w:r>
      <w:r w:rsidRPr="0064767E">
        <w:t>)</w:t>
      </w:r>
      <w:r>
        <w:t xml:space="preserve"> calcolate secondo la metodologia dell’</w:t>
      </w:r>
      <w:proofErr w:type="spellStart"/>
      <w:r w:rsidRPr="00DF1102">
        <w:rPr>
          <w:i/>
        </w:rPr>
        <w:t>effective</w:t>
      </w:r>
      <w:proofErr w:type="spellEnd"/>
      <w:r w:rsidRPr="00DF1102">
        <w:rPr>
          <w:i/>
        </w:rPr>
        <w:t xml:space="preserve"> mesh-size -</w:t>
      </w:r>
      <w:proofErr w:type="spellStart"/>
      <w:r w:rsidRPr="00DF1102">
        <w:rPr>
          <w:i/>
        </w:rPr>
        <w:t>m</w:t>
      </w:r>
      <w:r w:rsidRPr="00DF1102">
        <w:rPr>
          <w:i/>
          <w:vertAlign w:val="subscript"/>
        </w:rPr>
        <w:t>eff</w:t>
      </w:r>
      <w:proofErr w:type="spellEnd"/>
      <w:r>
        <w:t xml:space="preserve"> (Jaeger, 20</w:t>
      </w:r>
      <w:r w:rsidR="00DF1102">
        <w:t>00) opportunamente modificata secondo la “cross-</w:t>
      </w:r>
      <w:proofErr w:type="spellStart"/>
      <w:r w:rsidR="00DF1102">
        <w:t>boundary</w:t>
      </w:r>
      <w:proofErr w:type="spellEnd"/>
      <w:r w:rsidR="00DF1102">
        <w:t xml:space="preserve"> connections (CBC) procedure” che garantisce la continuità di territorio oltre i limiti della reporting </w:t>
      </w:r>
      <w:proofErr w:type="spellStart"/>
      <w:r w:rsidR="00DF1102">
        <w:t>unit</w:t>
      </w:r>
      <w:proofErr w:type="spellEnd"/>
      <w:r w:rsidR="00DF1102">
        <w:t xml:space="preserve"> (cella di 1 km</w:t>
      </w:r>
      <w:r w:rsidR="00DF1102" w:rsidRPr="00660FBA">
        <w:rPr>
          <w:vertAlign w:val="superscript"/>
        </w:rPr>
        <w:t>2</w:t>
      </w:r>
      <w:r w:rsidR="00DF1102">
        <w:t>).</w:t>
      </w:r>
    </w:p>
    <w:p w14:paraId="0DCB9F91" w14:textId="77777777" w:rsidR="0064767E" w:rsidRDefault="00660FBA" w:rsidP="0064767E">
      <w:pPr>
        <w:jc w:val="both"/>
      </w:pPr>
      <w:r>
        <w:t xml:space="preserve">L’indice misura l’ostacolo al movimento a partire da un punto interno alla reporting </w:t>
      </w:r>
      <w:proofErr w:type="spellStart"/>
      <w:r>
        <w:t>unit</w:t>
      </w:r>
      <w:proofErr w:type="spellEnd"/>
      <w:r>
        <w:t xml:space="preserve"> dovuto alla presenza sul territorio di barriere cosiddette “elementi frammentanti”. </w:t>
      </w:r>
    </w:p>
    <w:p w14:paraId="57B53951" w14:textId="77777777" w:rsidR="0064767E" w:rsidRDefault="00660FBA" w:rsidP="0064767E">
      <w:pPr>
        <w:jc w:val="both"/>
      </w:pPr>
      <w:r>
        <w:t>L’</w:t>
      </w:r>
      <w:proofErr w:type="spellStart"/>
      <w:r w:rsidRPr="00660FBA">
        <w:rPr>
          <w:i/>
        </w:rPr>
        <w:t>effective</w:t>
      </w:r>
      <w:proofErr w:type="spellEnd"/>
      <w:r w:rsidRPr="00660FBA">
        <w:rPr>
          <w:i/>
        </w:rPr>
        <w:t xml:space="preserve"> mesh-</w:t>
      </w:r>
      <w:proofErr w:type="spellStart"/>
      <w:r w:rsidRPr="00660FBA">
        <w:rPr>
          <w:i/>
        </w:rPr>
        <w:t>density</w:t>
      </w:r>
      <w:proofErr w:type="spellEnd"/>
      <w:r>
        <w:t xml:space="preserve"> è stato calcolato a livello nazionale rispetto ad una griglia regolare di maglie pari a 1 km</w:t>
      </w:r>
      <w:r w:rsidRPr="00660FBA">
        <w:rPr>
          <w:vertAlign w:val="superscript"/>
        </w:rPr>
        <w:t>2</w:t>
      </w:r>
      <w:r>
        <w:t xml:space="preserve"> (reporting </w:t>
      </w:r>
      <w:proofErr w:type="spellStart"/>
      <w:r>
        <w:t>unit</w:t>
      </w:r>
      <w:proofErr w:type="spellEnd"/>
      <w:r>
        <w:t>) considerando come elementi frammentanti la copertura artificiale del suolo ottenuta dalla carta nazionale del consumo di suolo 201</w:t>
      </w:r>
      <w:r w:rsidR="00E53B89">
        <w:t>9</w:t>
      </w:r>
      <w:r>
        <w:t xml:space="preserve">, opportunamente integrata con le informazioni vettoriali di </w:t>
      </w:r>
      <w:proofErr w:type="spellStart"/>
      <w:r>
        <w:t>OpenStreetMap</w:t>
      </w:r>
      <w:proofErr w:type="spellEnd"/>
      <w:r>
        <w:t xml:space="preserve"> al fine di migliorare l’identificazione delle infrastrutture lineari (strade e ferrovie)</w:t>
      </w:r>
      <w:r w:rsidR="0064767E">
        <w:t>.</w:t>
      </w:r>
    </w:p>
    <w:p w14:paraId="5E64C8BE" w14:textId="77777777" w:rsidR="00660FBA" w:rsidRDefault="00DF1102" w:rsidP="00DF1102">
      <w:pPr>
        <w:jc w:val="both"/>
      </w:pPr>
      <w:r>
        <w:t xml:space="preserve">L’indice è stato classificato nelle seguenti </w:t>
      </w:r>
      <w:proofErr w:type="gramStart"/>
      <w:r>
        <w:t>5</w:t>
      </w:r>
      <w:proofErr w:type="gramEnd"/>
      <w:r>
        <w:t xml:space="preserve"> classi in linea con l’indicatore implementato dall’EEA </w:t>
      </w:r>
      <w:r w:rsidRPr="00DF1102">
        <w:rPr>
          <w:i/>
        </w:rPr>
        <w:t>“</w:t>
      </w:r>
      <w:proofErr w:type="spellStart"/>
      <w:r w:rsidRPr="00DF1102">
        <w:rPr>
          <w:i/>
        </w:rPr>
        <w:t>Landscape</w:t>
      </w:r>
      <w:proofErr w:type="spellEnd"/>
      <w:r w:rsidRPr="00DF1102">
        <w:rPr>
          <w:i/>
        </w:rPr>
        <w:t xml:space="preserve"> </w:t>
      </w:r>
      <w:proofErr w:type="spellStart"/>
      <w:r w:rsidRPr="00DF1102">
        <w:rPr>
          <w:i/>
        </w:rPr>
        <w:t>fragmentation</w:t>
      </w:r>
      <w:proofErr w:type="spellEnd"/>
      <w:r w:rsidRPr="00DF1102">
        <w:rPr>
          <w:i/>
        </w:rPr>
        <w:t xml:space="preserve"> </w:t>
      </w:r>
      <w:proofErr w:type="spellStart"/>
      <w:r w:rsidRPr="00DF1102">
        <w:rPr>
          <w:i/>
        </w:rPr>
        <w:t>indicator</w:t>
      </w:r>
      <w:proofErr w:type="spellEnd"/>
      <w:r w:rsidRPr="00DF1102">
        <w:rPr>
          <w:i/>
        </w:rPr>
        <w:t xml:space="preserve"> </w:t>
      </w:r>
      <w:proofErr w:type="spellStart"/>
      <w:r w:rsidRPr="00DF1102">
        <w:rPr>
          <w:i/>
        </w:rPr>
        <w:t>effective</w:t>
      </w:r>
      <w:proofErr w:type="spellEnd"/>
      <w:r w:rsidRPr="00DF1102">
        <w:rPr>
          <w:i/>
        </w:rPr>
        <w:t xml:space="preserve"> mesh </w:t>
      </w:r>
      <w:proofErr w:type="spellStart"/>
      <w:r w:rsidRPr="00DF1102">
        <w:rPr>
          <w:i/>
        </w:rPr>
        <w:t>density</w:t>
      </w:r>
      <w:proofErr w:type="spellEnd"/>
      <w:r w:rsidRPr="00DF1102">
        <w:rPr>
          <w:i/>
        </w:rPr>
        <w:t xml:space="preserve"> (</w:t>
      </w:r>
      <w:proofErr w:type="spellStart"/>
      <w:r w:rsidRPr="00DF1102">
        <w:rPr>
          <w:i/>
        </w:rPr>
        <w:t>Seff</w:t>
      </w:r>
      <w:proofErr w:type="spellEnd"/>
      <w:r w:rsidRPr="00DF1102">
        <w:rPr>
          <w:i/>
        </w:rPr>
        <w:t>)</w:t>
      </w:r>
      <w:r w:rsidR="008B6393">
        <w:rPr>
          <w:i/>
        </w:rPr>
        <w:t>”</w:t>
      </w:r>
      <w:r w:rsidRPr="00DF1102">
        <w:t>:</w:t>
      </w:r>
      <w:r>
        <w:t xml:space="preserve"> </w:t>
      </w:r>
    </w:p>
    <w:p w14:paraId="5B760593" w14:textId="77777777" w:rsidR="00DF1102" w:rsidRDefault="00DF1102" w:rsidP="00DF1102">
      <w:pPr>
        <w:tabs>
          <w:tab w:val="center" w:pos="2835"/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proofErr w:type="spellStart"/>
      <w:r>
        <w:rPr>
          <w:rFonts w:ascii="Times New Roman" w:hAnsi="Times New Roman" w:cs="Times New Roman"/>
          <w:b/>
          <w:bCs/>
        </w:rPr>
        <w:t>Seff</w:t>
      </w:r>
      <w:proofErr w:type="spellEnd"/>
      <w:r>
        <w:rPr>
          <w:rFonts w:ascii="Times New Roman" w:hAnsi="Times New Roman" w:cs="Times New Roman"/>
          <w:b/>
          <w:bCs/>
        </w:rPr>
        <w:t xml:space="preserve"> (n° meshes per 1.000 km</w:t>
      </w:r>
      <w:r w:rsidR="008B6393" w:rsidRPr="008B6393">
        <w:rPr>
          <w:rFonts w:ascii="Times New Roman" w:hAnsi="Times New Roman" w:cs="Times New Roman"/>
          <w:b/>
          <w:bCs/>
          <w:vertAlign w:val="superscript"/>
        </w:rPr>
        <w:t>2</w:t>
      </w:r>
      <w:r>
        <w:rPr>
          <w:rFonts w:ascii="Times New Roman" w:hAnsi="Times New Roman" w:cs="Times New Roman"/>
          <w:b/>
          <w:bCs/>
        </w:rPr>
        <w:t xml:space="preserve">) </w:t>
      </w:r>
      <w:r>
        <w:rPr>
          <w:rFonts w:ascii="Times New Roman" w:hAnsi="Times New Roman" w:cs="Times New Roman"/>
          <w:b/>
          <w:bCs/>
        </w:rPr>
        <w:tab/>
        <w:t>classe di frammentazione</w:t>
      </w:r>
    </w:p>
    <w:p w14:paraId="59C0CF76" w14:textId="77777777" w:rsidR="00DF1102" w:rsidRDefault="00DF1102" w:rsidP="00DF1102">
      <w:pPr>
        <w:tabs>
          <w:tab w:val="center" w:pos="2835"/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( 0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NewRomanPSMT" w:eastAsia="TimesNewRomanPSMT" w:hAnsi="Times New Roman" w:cs="TimesNewRomanPSMT" w:hint="eastAsia"/>
        </w:rPr>
        <w:t>–</w:t>
      </w:r>
      <w:r>
        <w:rPr>
          <w:rFonts w:ascii="TimesNewRomanPSMT" w:eastAsia="TimesNewRomanPSMT" w:hAnsi="Times New Roman" w:cs="TimesNewRomanPSMT"/>
        </w:rPr>
        <w:t xml:space="preserve"> </w:t>
      </w:r>
      <w:r>
        <w:rPr>
          <w:rFonts w:ascii="Times New Roman" w:hAnsi="Times New Roman" w:cs="Times New Roman"/>
        </w:rPr>
        <w:t>1,5 ]</w:t>
      </w:r>
      <w:r>
        <w:rPr>
          <w:rFonts w:ascii="Times New Roman" w:hAnsi="Times New Roman" w:cs="Times New Roman"/>
        </w:rPr>
        <w:tab/>
        <w:t xml:space="preserve"> molto bassa</w:t>
      </w:r>
    </w:p>
    <w:p w14:paraId="54E3D3C2" w14:textId="77777777" w:rsidR="00DF1102" w:rsidRDefault="00DF1102" w:rsidP="00DF1102">
      <w:pPr>
        <w:tabs>
          <w:tab w:val="center" w:pos="2835"/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( 1</w:t>
      </w:r>
      <w:proofErr w:type="gramEnd"/>
      <w:r>
        <w:rPr>
          <w:rFonts w:ascii="Times New Roman" w:hAnsi="Times New Roman" w:cs="Times New Roman"/>
        </w:rPr>
        <w:t xml:space="preserve">,5 </w:t>
      </w:r>
      <w:r>
        <w:rPr>
          <w:rFonts w:ascii="TimesNewRomanPSMT" w:eastAsia="TimesNewRomanPSMT" w:hAnsi="Times New Roman" w:cs="TimesNewRomanPSMT" w:hint="eastAsia"/>
        </w:rPr>
        <w:t>–</w:t>
      </w:r>
      <w:r>
        <w:rPr>
          <w:rFonts w:ascii="TimesNewRomanPSMT" w:eastAsia="TimesNewRomanPSMT" w:hAnsi="Times New Roman" w:cs="TimesNewRomanPSMT"/>
        </w:rPr>
        <w:t xml:space="preserve"> </w:t>
      </w:r>
      <w:r>
        <w:rPr>
          <w:rFonts w:ascii="Times New Roman" w:hAnsi="Times New Roman" w:cs="Times New Roman"/>
        </w:rPr>
        <w:t>10 ]</w:t>
      </w:r>
      <w:r>
        <w:rPr>
          <w:rFonts w:ascii="Times New Roman" w:hAnsi="Times New Roman" w:cs="Times New Roman"/>
        </w:rPr>
        <w:tab/>
        <w:t>bassa</w:t>
      </w:r>
    </w:p>
    <w:p w14:paraId="433F96EA" w14:textId="77777777" w:rsidR="00DF1102" w:rsidRDefault="00DF1102" w:rsidP="00DF1102">
      <w:pPr>
        <w:tabs>
          <w:tab w:val="center" w:pos="2835"/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( 10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NewRomanPSMT" w:eastAsia="TimesNewRomanPSMT" w:hAnsi="Times New Roman" w:cs="TimesNewRomanPSMT" w:hint="eastAsia"/>
        </w:rPr>
        <w:t>–</w:t>
      </w:r>
      <w:r>
        <w:rPr>
          <w:rFonts w:ascii="TimesNewRomanPSMT" w:eastAsia="TimesNewRomanPSMT" w:hAnsi="Times New Roman" w:cs="TimesNewRomanPSMT"/>
        </w:rPr>
        <w:t xml:space="preserve"> </w:t>
      </w:r>
      <w:r>
        <w:rPr>
          <w:rFonts w:ascii="Times New Roman" w:hAnsi="Times New Roman" w:cs="Times New Roman"/>
        </w:rPr>
        <w:t>50 ]</w:t>
      </w:r>
      <w:r>
        <w:rPr>
          <w:rFonts w:ascii="Times New Roman" w:hAnsi="Times New Roman" w:cs="Times New Roman"/>
        </w:rPr>
        <w:tab/>
        <w:t>media</w:t>
      </w:r>
    </w:p>
    <w:p w14:paraId="798D55E3" w14:textId="77777777" w:rsidR="00DF1102" w:rsidRDefault="00DF1102" w:rsidP="00DF1102">
      <w:pPr>
        <w:tabs>
          <w:tab w:val="center" w:pos="2835"/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( 50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NewRomanPSMT" w:eastAsia="TimesNewRomanPSMT" w:hAnsi="Times New Roman" w:cs="TimesNewRomanPSMT" w:hint="eastAsia"/>
        </w:rPr>
        <w:t>–</w:t>
      </w:r>
      <w:r>
        <w:rPr>
          <w:rFonts w:ascii="TimesNewRomanPSMT" w:eastAsia="TimesNewRomanPSMT" w:hAnsi="Times New Roman" w:cs="TimesNewRomanPSMT"/>
        </w:rPr>
        <w:t xml:space="preserve"> </w:t>
      </w:r>
      <w:r>
        <w:rPr>
          <w:rFonts w:ascii="Times New Roman" w:hAnsi="Times New Roman" w:cs="Times New Roman"/>
        </w:rPr>
        <w:t>250 ]</w:t>
      </w:r>
      <w:r>
        <w:rPr>
          <w:rFonts w:ascii="Times New Roman" w:hAnsi="Times New Roman" w:cs="Times New Roman"/>
        </w:rPr>
        <w:tab/>
        <w:t>elevata</w:t>
      </w:r>
    </w:p>
    <w:p w14:paraId="3E24DF39" w14:textId="77777777" w:rsidR="00660FBA" w:rsidRDefault="00DF1102" w:rsidP="00DF1102">
      <w:pPr>
        <w:tabs>
          <w:tab w:val="center" w:pos="2835"/>
          <w:tab w:val="center" w:pos="6804"/>
        </w:tabs>
      </w:pPr>
      <w:r>
        <w:rPr>
          <w:rFonts w:ascii="Times New Roman" w:hAnsi="Times New Roman" w:cs="Times New Roman"/>
        </w:rPr>
        <w:tab/>
        <w:t>&gt; 250</w:t>
      </w:r>
      <w:r>
        <w:rPr>
          <w:rFonts w:ascii="Times New Roman" w:hAnsi="Times New Roman" w:cs="Times New Roman"/>
        </w:rPr>
        <w:tab/>
        <w:t xml:space="preserve"> molto elevata</w:t>
      </w:r>
    </w:p>
    <w:sectPr w:rsidR="00660FBA" w:rsidSect="00371A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FBA"/>
    <w:rsid w:val="00277EA6"/>
    <w:rsid w:val="00321A03"/>
    <w:rsid w:val="00371AFA"/>
    <w:rsid w:val="0053313A"/>
    <w:rsid w:val="0064767E"/>
    <w:rsid w:val="00660FBA"/>
    <w:rsid w:val="008110F6"/>
    <w:rsid w:val="008917FF"/>
    <w:rsid w:val="008B6393"/>
    <w:rsid w:val="00A75BB3"/>
    <w:rsid w:val="00DA1B77"/>
    <w:rsid w:val="00DF1102"/>
    <w:rsid w:val="00E53B89"/>
    <w:rsid w:val="00FA52ED"/>
    <w:rsid w:val="00FA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C866"/>
  <w15:docId w15:val="{F23FA669-B9F3-4F6B-B289-71379E81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1A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pranzo</dc:creator>
  <cp:lastModifiedBy>andrea</cp:lastModifiedBy>
  <cp:revision>6</cp:revision>
  <dcterms:created xsi:type="dcterms:W3CDTF">2018-09-12T10:14:00Z</dcterms:created>
  <dcterms:modified xsi:type="dcterms:W3CDTF">2020-07-21T15:27:00Z</dcterms:modified>
</cp:coreProperties>
</file>